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9229B">
      <w:pPr>
        <w:tabs>
          <w:tab w:val="left" w:pos="315"/>
          <w:tab w:val="left" w:pos="8820"/>
        </w:tabs>
        <w:spacing w:before="240" w:after="120" w:line="500" w:lineRule="exact"/>
        <w:ind w:right="267" w:rightChars="127"/>
        <w:jc w:val="center"/>
        <w:rPr>
          <w:rFonts w:hint="eastAsia"/>
          <w:b/>
          <w:bCs/>
          <w:color w:val="auto"/>
          <w:sz w:val="52"/>
          <w:szCs w:val="52"/>
          <w:highlight w:val="none"/>
        </w:rPr>
      </w:pPr>
      <w:bookmarkStart w:id="0" w:name="_Hlk9544796"/>
    </w:p>
    <w:p w14:paraId="726A5AD2">
      <w:pPr>
        <w:tabs>
          <w:tab w:val="left" w:pos="315"/>
          <w:tab w:val="left" w:pos="8820"/>
        </w:tabs>
        <w:spacing w:before="240" w:after="120" w:line="480" w:lineRule="auto"/>
        <w:ind w:right="267" w:rightChars="127"/>
        <w:jc w:val="center"/>
        <w:rPr>
          <w:rFonts w:hint="eastAsia" w:ascii="宋体" w:eastAsia="宋体" w:cs="宋体"/>
          <w:b/>
          <w:bCs/>
          <w:color w:val="auto"/>
          <w:sz w:val="56"/>
          <w:szCs w:val="72"/>
          <w:highlight w:val="none"/>
          <w:lang w:eastAsia="zh-CN"/>
        </w:rPr>
      </w:pPr>
      <w:r>
        <w:rPr>
          <w:rFonts w:hint="eastAsia" w:ascii="宋体" w:cs="宋体"/>
          <w:b/>
          <w:bCs/>
          <w:color w:val="auto"/>
          <w:sz w:val="56"/>
          <w:szCs w:val="72"/>
          <w:highlight w:val="none"/>
        </w:rPr>
        <w:t>询比</w:t>
      </w:r>
      <w:r>
        <w:rPr>
          <w:rFonts w:hint="eastAsia" w:ascii="宋体" w:cs="宋体"/>
          <w:b/>
          <w:bCs/>
          <w:color w:val="auto"/>
          <w:sz w:val="56"/>
          <w:szCs w:val="72"/>
          <w:highlight w:val="none"/>
          <w:lang w:eastAsia="zh-CN"/>
        </w:rPr>
        <w:t>文件</w:t>
      </w:r>
    </w:p>
    <w:bookmarkEnd w:id="0"/>
    <w:p w14:paraId="75BA20CD">
      <w:pPr>
        <w:tabs>
          <w:tab w:val="left" w:pos="315"/>
          <w:tab w:val="left" w:pos="8820"/>
        </w:tabs>
        <w:spacing w:before="240" w:after="120" w:line="500" w:lineRule="exact"/>
        <w:ind w:right="267" w:rightChars="127"/>
        <w:jc w:val="center"/>
        <w:rPr>
          <w:rFonts w:hint="eastAsia" w:ascii="宋体" w:cs="宋体"/>
          <w:bCs/>
          <w:color w:val="auto"/>
          <w:sz w:val="44"/>
          <w:szCs w:val="44"/>
          <w:highlight w:val="none"/>
        </w:rPr>
      </w:pPr>
      <w:r>
        <w:rPr>
          <w:rFonts w:ascii="Times New Roman" w:hAnsi="Times New Roman"/>
          <w:color w:val="auto"/>
          <w:highlight w:val="none"/>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410210</wp:posOffset>
            </wp:positionV>
            <wp:extent cx="1276350" cy="1195070"/>
            <wp:effectExtent l="0" t="0" r="6350" b="11430"/>
            <wp:wrapNone/>
            <wp:docPr id="1"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
                    <pic:cNvPicPr>
                      <a:picLocks noChangeAspect="1"/>
                    </pic:cNvPicPr>
                  </pic:nvPicPr>
                  <pic:blipFill>
                    <a:blip r:embed="rId9"/>
                    <a:stretch>
                      <a:fillRect/>
                    </a:stretch>
                  </pic:blipFill>
                  <pic:spPr>
                    <a:xfrm>
                      <a:off x="0" y="0"/>
                      <a:ext cx="1276350" cy="1195070"/>
                    </a:xfrm>
                    <a:prstGeom prst="rect">
                      <a:avLst/>
                    </a:prstGeom>
                    <a:noFill/>
                    <a:ln>
                      <a:noFill/>
                    </a:ln>
                  </pic:spPr>
                </pic:pic>
              </a:graphicData>
            </a:graphic>
          </wp:anchor>
        </w:drawing>
      </w:r>
    </w:p>
    <w:p w14:paraId="78E7E6EF">
      <w:pPr>
        <w:tabs>
          <w:tab w:val="left" w:pos="315"/>
          <w:tab w:val="left" w:pos="8820"/>
        </w:tabs>
        <w:spacing w:before="240" w:after="120" w:line="500" w:lineRule="exact"/>
        <w:ind w:right="267" w:rightChars="127"/>
        <w:jc w:val="center"/>
        <w:rPr>
          <w:rFonts w:hint="eastAsia" w:ascii="宋体" w:cs="宋体"/>
          <w:b/>
          <w:bCs/>
          <w:color w:val="auto"/>
          <w:sz w:val="44"/>
          <w:szCs w:val="44"/>
          <w:highlight w:val="none"/>
        </w:rPr>
      </w:pPr>
    </w:p>
    <w:p w14:paraId="75C9F817">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46F386B7">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09EB392E">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6037ADC6">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438BBEB2">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6A4C21CA">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430AA61B">
      <w:pPr>
        <w:tabs>
          <w:tab w:val="left" w:pos="2410"/>
        </w:tabs>
        <w:autoSpaceDE w:val="0"/>
        <w:autoSpaceDN w:val="0"/>
        <w:adjustRightInd w:val="0"/>
        <w:snapToGrid w:val="0"/>
        <w:spacing w:line="360" w:lineRule="auto"/>
        <w:rPr>
          <w:rFonts w:hint="eastAsia" w:ascii="宋体" w:cs="宋体"/>
          <w:b/>
          <w:color w:val="auto"/>
          <w:spacing w:val="20"/>
          <w:sz w:val="32"/>
          <w:szCs w:val="32"/>
          <w:highlight w:val="none"/>
        </w:rPr>
      </w:pPr>
    </w:p>
    <w:p w14:paraId="474CCBF9">
      <w:pPr>
        <w:tabs>
          <w:tab w:val="left" w:pos="2410"/>
        </w:tabs>
        <w:autoSpaceDE w:val="0"/>
        <w:autoSpaceDN w:val="0"/>
        <w:adjustRightInd w:val="0"/>
        <w:snapToGrid w:val="0"/>
        <w:spacing w:line="360" w:lineRule="auto"/>
        <w:rPr>
          <w:rFonts w:hint="eastAsia" w:ascii="宋体" w:eastAsia="宋体" w:cs="宋体"/>
          <w:b/>
          <w:color w:val="auto"/>
          <w:spacing w:val="20"/>
          <w:sz w:val="28"/>
          <w:szCs w:val="32"/>
          <w:highlight w:val="none"/>
          <w:u w:val="single"/>
          <w:lang w:val="en-US" w:eastAsia="zh-CN"/>
        </w:rPr>
      </w:pPr>
      <w:r>
        <w:rPr>
          <w:rFonts w:hint="eastAsia" w:ascii="宋体" w:cs="宋体"/>
          <w:b/>
          <w:color w:val="auto"/>
          <w:spacing w:val="20"/>
          <w:sz w:val="28"/>
          <w:szCs w:val="32"/>
          <w:highlight w:val="none"/>
        </w:rPr>
        <w:t>项目名称：</w:t>
      </w:r>
      <w:r>
        <w:rPr>
          <w:rFonts w:hint="eastAsia" w:ascii="宋体" w:cs="宋体"/>
          <w:b/>
          <w:color w:val="auto"/>
          <w:spacing w:val="20"/>
          <w:sz w:val="28"/>
          <w:szCs w:val="32"/>
          <w:highlight w:val="none"/>
          <w:u w:val="single"/>
          <w:lang w:eastAsia="zh-CN"/>
        </w:rPr>
        <w:t>安徽环境新安江生态科技有限公司劳务外包服务项目（二次）</w:t>
      </w:r>
    </w:p>
    <w:p w14:paraId="7BA35949">
      <w:pPr>
        <w:tabs>
          <w:tab w:val="left" w:pos="2410"/>
        </w:tabs>
        <w:autoSpaceDE w:val="0"/>
        <w:autoSpaceDN w:val="0"/>
        <w:adjustRightInd w:val="0"/>
        <w:snapToGrid w:val="0"/>
        <w:spacing w:line="360" w:lineRule="auto"/>
        <w:rPr>
          <w:rFonts w:hint="eastAsia" w:ascii="宋体" w:eastAsia="宋体" w:cs="宋体"/>
          <w:b/>
          <w:color w:val="auto"/>
          <w:spacing w:val="20"/>
          <w:sz w:val="28"/>
          <w:szCs w:val="32"/>
          <w:highlight w:val="none"/>
          <w:lang w:eastAsia="zh-CN"/>
        </w:rPr>
      </w:pPr>
      <w:r>
        <w:rPr>
          <w:rFonts w:hint="eastAsia" w:ascii="宋体" w:cs="宋体"/>
          <w:b/>
          <w:color w:val="auto"/>
          <w:spacing w:val="20"/>
          <w:sz w:val="28"/>
          <w:szCs w:val="32"/>
          <w:highlight w:val="none"/>
        </w:rPr>
        <w:t>项目编号：</w:t>
      </w:r>
      <w:r>
        <w:rPr>
          <w:rFonts w:hint="eastAsia" w:asciiTheme="minorEastAsia" w:hAnsiTheme="minorEastAsia" w:cstheme="minorEastAsia"/>
          <w:b/>
          <w:bCs/>
          <w:i w:val="0"/>
          <w:iCs w:val="0"/>
          <w:caps w:val="0"/>
          <w:color w:val="333333"/>
          <w:spacing w:val="0"/>
          <w:sz w:val="28"/>
          <w:szCs w:val="28"/>
          <w:u w:val="single"/>
          <w:shd w:val="clear" w:fill="FFFFFF"/>
          <w:lang w:eastAsia="zh-CN"/>
        </w:rPr>
        <w:t>GDXG-2026CG023101</w:t>
      </w:r>
    </w:p>
    <w:p w14:paraId="592D522F">
      <w:pPr>
        <w:tabs>
          <w:tab w:val="left" w:pos="2410"/>
        </w:tabs>
        <w:autoSpaceDE w:val="0"/>
        <w:autoSpaceDN w:val="0"/>
        <w:adjustRightInd w:val="0"/>
        <w:snapToGrid w:val="0"/>
        <w:spacing w:line="360" w:lineRule="auto"/>
        <w:rPr>
          <w:rFonts w:hint="eastAsia" w:ascii="宋体" w:eastAsia="宋体" w:cs="宋体"/>
          <w:b/>
          <w:color w:val="auto"/>
          <w:spacing w:val="20"/>
          <w:sz w:val="28"/>
          <w:szCs w:val="32"/>
          <w:highlight w:val="none"/>
          <w:lang w:eastAsia="zh-CN"/>
        </w:rPr>
      </w:pPr>
      <w:r>
        <w:rPr>
          <w:rFonts w:hint="eastAsia" w:ascii="宋体" w:cs="宋体"/>
          <w:b/>
          <w:color w:val="auto"/>
          <w:spacing w:val="20"/>
          <w:sz w:val="28"/>
          <w:szCs w:val="32"/>
          <w:highlight w:val="none"/>
        </w:rPr>
        <w:t>采 购 人：</w:t>
      </w:r>
      <w:r>
        <w:rPr>
          <w:rFonts w:hint="eastAsia" w:ascii="宋体" w:cs="宋体"/>
          <w:b/>
          <w:color w:val="auto"/>
          <w:spacing w:val="20"/>
          <w:sz w:val="28"/>
          <w:szCs w:val="32"/>
          <w:highlight w:val="none"/>
          <w:u w:val="single"/>
          <w:lang w:eastAsia="zh-CN"/>
        </w:rPr>
        <w:t>安徽环境新安江生态科技有限公司</w:t>
      </w:r>
    </w:p>
    <w:p w14:paraId="211FFCB3">
      <w:pPr>
        <w:tabs>
          <w:tab w:val="left" w:pos="2410"/>
        </w:tabs>
        <w:autoSpaceDE w:val="0"/>
        <w:autoSpaceDN w:val="0"/>
        <w:adjustRightInd w:val="0"/>
        <w:snapToGrid w:val="0"/>
        <w:spacing w:line="360" w:lineRule="auto"/>
        <w:rPr>
          <w:rFonts w:hint="eastAsia" w:ascii="宋体" w:cs="宋体"/>
          <w:b/>
          <w:color w:val="auto"/>
          <w:spacing w:val="20"/>
          <w:sz w:val="24"/>
          <w:szCs w:val="28"/>
          <w:highlight w:val="none"/>
        </w:rPr>
      </w:pPr>
      <w:r>
        <w:rPr>
          <w:rFonts w:hint="eastAsia" w:ascii="宋体" w:cs="宋体"/>
          <w:b/>
          <w:color w:val="auto"/>
          <w:spacing w:val="20"/>
          <w:sz w:val="28"/>
          <w:szCs w:val="32"/>
          <w:highlight w:val="none"/>
        </w:rPr>
        <w:t>采购代理机构：</w:t>
      </w:r>
      <w:r>
        <w:rPr>
          <w:rFonts w:hint="eastAsia" w:ascii="宋体" w:cs="宋体"/>
          <w:b/>
          <w:color w:val="auto"/>
          <w:spacing w:val="20"/>
          <w:sz w:val="28"/>
          <w:szCs w:val="32"/>
          <w:highlight w:val="none"/>
          <w:u w:val="single"/>
        </w:rPr>
        <w:t>安徽广电项目管理有限公司</w:t>
      </w:r>
    </w:p>
    <w:p w14:paraId="7865FFA8">
      <w:pPr>
        <w:tabs>
          <w:tab w:val="left" w:pos="2410"/>
        </w:tabs>
        <w:autoSpaceDE w:val="0"/>
        <w:autoSpaceDN w:val="0"/>
        <w:adjustRightInd w:val="0"/>
        <w:snapToGrid w:val="0"/>
        <w:spacing w:line="360" w:lineRule="auto"/>
        <w:jc w:val="center"/>
        <w:rPr>
          <w:rFonts w:hint="eastAsia" w:ascii="宋体"/>
          <w:b/>
          <w:color w:val="auto"/>
          <w:sz w:val="24"/>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r>
        <w:rPr>
          <w:rFonts w:hint="eastAsia" w:ascii="宋体" w:cs="宋体"/>
          <w:b/>
          <w:color w:val="auto"/>
          <w:spacing w:val="20"/>
          <w:sz w:val="28"/>
          <w:szCs w:val="32"/>
          <w:highlight w:val="none"/>
        </w:rPr>
        <w:t>二〇二</w:t>
      </w:r>
      <w:r>
        <w:rPr>
          <w:rFonts w:hint="eastAsia" w:ascii="宋体" w:cs="宋体"/>
          <w:b/>
          <w:color w:val="auto"/>
          <w:spacing w:val="20"/>
          <w:sz w:val="28"/>
          <w:szCs w:val="32"/>
          <w:highlight w:val="none"/>
          <w:lang w:eastAsia="zh-CN"/>
        </w:rPr>
        <w:t>六</w:t>
      </w:r>
      <w:r>
        <w:rPr>
          <w:rFonts w:hint="eastAsia" w:ascii="宋体" w:cs="宋体"/>
          <w:b/>
          <w:color w:val="auto"/>
          <w:spacing w:val="20"/>
          <w:sz w:val="28"/>
          <w:szCs w:val="32"/>
          <w:highlight w:val="none"/>
        </w:rPr>
        <w:t>年</w:t>
      </w:r>
      <w:r>
        <w:rPr>
          <w:rFonts w:hint="eastAsia" w:ascii="宋体" w:cs="宋体"/>
          <w:b/>
          <w:color w:val="auto"/>
          <w:spacing w:val="20"/>
          <w:sz w:val="28"/>
          <w:szCs w:val="32"/>
          <w:highlight w:val="none"/>
          <w:lang w:val="en-US" w:eastAsia="zh-CN"/>
        </w:rPr>
        <w:t>八</w:t>
      </w:r>
      <w:r>
        <w:rPr>
          <w:rFonts w:hint="eastAsia" w:ascii="宋体" w:cs="宋体"/>
          <w:b/>
          <w:color w:val="auto"/>
          <w:spacing w:val="20"/>
          <w:sz w:val="28"/>
          <w:szCs w:val="32"/>
          <w:highlight w:val="none"/>
        </w:rPr>
        <w:t>月</w:t>
      </w:r>
    </w:p>
    <w:p w14:paraId="05E99BE9">
      <w:pPr>
        <w:tabs>
          <w:tab w:val="left" w:pos="2410"/>
        </w:tabs>
        <w:autoSpaceDE w:val="0"/>
        <w:autoSpaceDN w:val="0"/>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目  录</w:t>
      </w:r>
    </w:p>
    <w:p w14:paraId="3A66E947">
      <w:pPr>
        <w:tabs>
          <w:tab w:val="left" w:pos="2410"/>
        </w:tabs>
        <w:autoSpaceDE w:val="0"/>
        <w:autoSpaceDN w:val="0"/>
        <w:adjustRightInd w:val="0"/>
        <w:snapToGrid w:val="0"/>
        <w:spacing w:line="360" w:lineRule="auto"/>
        <w:jc w:val="center"/>
        <w:rPr>
          <w:rFonts w:hint="eastAsia" w:ascii="宋体" w:hAnsi="宋体" w:eastAsia="宋体" w:cs="宋体"/>
          <w:b/>
          <w:color w:val="auto"/>
          <w:sz w:val="24"/>
          <w:szCs w:val="24"/>
          <w:highlight w:val="none"/>
        </w:rPr>
      </w:pPr>
    </w:p>
    <w:p w14:paraId="5CE173DA">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TOC \o "1-2" \h \z \u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询比采购邀请（询比公告）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BC7267">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_Toc16552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CCE1A6">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_Toc28792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2D4F02">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_Toc31508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第四章  评审方法和标准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_Toc31508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80F652">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_Toc25676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采购合同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_Toc25676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38B2DC0">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_Toc18415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_Toc18415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B88F0D">
      <w:pPr>
        <w:pStyle w:val="15"/>
        <w:tabs>
          <w:tab w:val="right" w:leader="dot" w:pos="8306"/>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_Toc20434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 xml:space="preserve">第七章  </w:t>
      </w:r>
      <w:r>
        <w:rPr>
          <w:rFonts w:hint="eastAsia" w:ascii="宋体" w:hAnsi="宋体" w:eastAsia="宋体" w:cs="宋体"/>
          <w:color w:val="auto"/>
          <w:sz w:val="24"/>
          <w:szCs w:val="24"/>
          <w:highlight w:val="none"/>
        </w:rPr>
        <w:t>供应</w:t>
      </w:r>
      <w:r>
        <w:rPr>
          <w:rFonts w:hint="eastAsia" w:ascii="宋体" w:hAnsi="宋体" w:eastAsia="宋体" w:cs="宋体"/>
          <w:bCs/>
          <w:color w:val="auto"/>
          <w:sz w:val="24"/>
          <w:szCs w:val="24"/>
          <w:highlight w:val="none"/>
        </w:rPr>
        <w:t>商质疑函范本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_Toc20434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FDAC39">
      <w:pPr>
        <w:rPr>
          <w:rFonts w:hint="eastAsia"/>
          <w:color w:val="auto"/>
          <w:highlight w:val="none"/>
        </w:rPr>
      </w:pPr>
      <w:r>
        <w:rPr>
          <w:rFonts w:hint="eastAsia" w:ascii="宋体" w:hAnsi="宋体" w:eastAsia="宋体" w:cs="宋体"/>
          <w:color w:val="auto"/>
          <w:sz w:val="24"/>
          <w:szCs w:val="24"/>
          <w:highlight w:val="none"/>
        </w:rPr>
        <w:fldChar w:fldCharType="end"/>
      </w:r>
    </w:p>
    <w:p w14:paraId="78E61DFF">
      <w:pPr>
        <w:spacing w:line="360" w:lineRule="auto"/>
        <w:jc w:val="center"/>
        <w:outlineLvl w:val="0"/>
        <w:rPr>
          <w:rFonts w:hint="eastAsia" w:ascii="仿宋" w:hAnsi="仿宋" w:eastAsia="仿宋" w:cs="仿宋"/>
          <w:b/>
          <w:color w:val="auto"/>
          <w:sz w:val="28"/>
          <w:szCs w:val="28"/>
          <w:highlight w:val="none"/>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p>
    <w:p w14:paraId="77CCB61C">
      <w:pPr>
        <w:spacing w:line="360" w:lineRule="auto"/>
        <w:jc w:val="center"/>
        <w:outlineLvl w:val="0"/>
        <w:rPr>
          <w:rFonts w:hint="eastAsia" w:ascii="仿宋" w:hAnsi="仿宋" w:eastAsia="仿宋" w:cs="仿宋"/>
          <w:b/>
          <w:color w:val="auto"/>
          <w:sz w:val="24"/>
          <w:szCs w:val="24"/>
          <w:highlight w:val="none"/>
        </w:rPr>
      </w:pPr>
      <w:bookmarkStart w:id="1" w:name="_Toc2174"/>
      <w:r>
        <w:rPr>
          <w:rFonts w:hint="eastAsia" w:ascii="仿宋" w:hAnsi="仿宋" w:eastAsia="仿宋" w:cs="仿宋"/>
          <w:b/>
          <w:color w:val="auto"/>
          <w:sz w:val="28"/>
          <w:szCs w:val="28"/>
          <w:highlight w:val="none"/>
        </w:rPr>
        <w:t>第一章  询比采购邀请（询比公告）</w:t>
      </w:r>
      <w:bookmarkEnd w:id="1"/>
    </w:p>
    <w:p w14:paraId="22A1ABB8">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项目概况</w:t>
      </w:r>
    </w:p>
    <w:p w14:paraId="2BF0A06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eastAsia="zh-CN"/>
        </w:rPr>
        <w:t>安徽环境新安江生态科技有限公司劳务外包服务项目（二次）</w:t>
      </w:r>
      <w:r>
        <w:rPr>
          <w:rFonts w:hint="eastAsia" w:ascii="宋体" w:hAnsi="宋体" w:eastAsia="宋体" w:cs="宋体"/>
          <w:color w:val="auto"/>
          <w:sz w:val="24"/>
          <w:szCs w:val="24"/>
          <w:highlight w:val="none"/>
        </w:rPr>
        <w:t>的潜在供应商应在</w:t>
      </w:r>
      <w:r>
        <w:rPr>
          <w:rFonts w:hint="eastAsia" w:ascii="宋体" w:hAnsi="宋体" w:eastAsia="宋体" w:cs="宋体"/>
          <w:color w:val="auto"/>
          <w:sz w:val="24"/>
          <w:szCs w:val="24"/>
          <w:highlight w:val="none"/>
          <w:u w:val="single"/>
        </w:rPr>
        <w:t>安徽广电电子交易平台（http://www.ahgdxg.com/TPBidder）</w:t>
      </w:r>
      <w:r>
        <w:rPr>
          <w:rFonts w:hint="eastAsia" w:ascii="宋体" w:hAnsi="宋体" w:eastAsia="宋体" w:cs="宋体"/>
          <w:color w:val="auto"/>
          <w:sz w:val="24"/>
          <w:szCs w:val="24"/>
          <w:highlight w:val="none"/>
        </w:rPr>
        <w:t>上获取询比文件，并于</w:t>
      </w:r>
      <w:r>
        <w:rPr>
          <w:rFonts w:hint="eastAsia" w:ascii="宋体" w:hAnsi="宋体" w:eastAsia="宋体" w:cs="宋体"/>
          <w:color w:val="auto"/>
          <w:sz w:val="24"/>
          <w:szCs w:val="24"/>
          <w:highlight w:val="none"/>
          <w:lang w:eastAsia="zh-CN"/>
        </w:rPr>
        <w:t>2026年</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03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14点30分</w:t>
      </w:r>
      <w:r>
        <w:rPr>
          <w:rFonts w:hint="eastAsia" w:ascii="宋体" w:hAnsi="宋体" w:eastAsia="宋体" w:cs="宋体"/>
          <w:color w:val="auto"/>
          <w:sz w:val="24"/>
          <w:szCs w:val="24"/>
          <w:highlight w:val="none"/>
        </w:rPr>
        <w:t>（北京时间）前</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递交响应文件。</w:t>
      </w:r>
    </w:p>
    <w:p w14:paraId="76BC4FF7">
      <w:pPr>
        <w:spacing w:line="360" w:lineRule="auto"/>
        <w:ind w:firstLine="482" w:firstLineChars="200"/>
        <w:rPr>
          <w:rFonts w:hint="eastAsia" w:ascii="宋体" w:hAnsi="宋体" w:eastAsia="宋体" w:cs="宋体"/>
          <w:b/>
          <w:bCs/>
          <w:color w:val="auto"/>
          <w:sz w:val="24"/>
          <w:szCs w:val="24"/>
          <w:highlight w:val="none"/>
        </w:rPr>
      </w:pPr>
      <w:bookmarkStart w:id="2" w:name="_Toc35393629"/>
      <w:bookmarkStart w:id="3" w:name="_Toc28359012"/>
      <w:bookmarkStart w:id="4" w:name="_Toc28359089"/>
      <w:bookmarkStart w:id="5" w:name="_Toc35393798"/>
      <w:r>
        <w:rPr>
          <w:rFonts w:hint="eastAsia" w:ascii="宋体" w:hAnsi="宋体" w:eastAsia="宋体" w:cs="宋体"/>
          <w:b/>
          <w:bCs/>
          <w:color w:val="auto"/>
          <w:sz w:val="24"/>
          <w:szCs w:val="24"/>
          <w:highlight w:val="none"/>
        </w:rPr>
        <w:t>一、项目基本情况</w:t>
      </w:r>
      <w:bookmarkEnd w:id="2"/>
      <w:bookmarkEnd w:id="3"/>
      <w:bookmarkEnd w:id="4"/>
      <w:bookmarkEnd w:id="5"/>
    </w:p>
    <w:p w14:paraId="7BA362AB">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1.项目编号：</w:t>
      </w:r>
      <w:r>
        <w:rPr>
          <w:rFonts w:hint="eastAsia" w:ascii="宋体" w:hAnsi="宋体" w:cs="宋体"/>
          <w:color w:val="auto"/>
          <w:sz w:val="24"/>
          <w:szCs w:val="24"/>
          <w:highlight w:val="none"/>
          <w:lang w:eastAsia="zh-CN"/>
        </w:rPr>
        <w:t>GDXG-2026CG025301</w:t>
      </w:r>
    </w:p>
    <w:p w14:paraId="652D156C">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cs="宋体"/>
          <w:color w:val="auto"/>
          <w:sz w:val="24"/>
          <w:szCs w:val="24"/>
          <w:highlight w:val="none"/>
          <w:lang w:eastAsia="zh-CN"/>
        </w:rPr>
        <w:t>安徽环境新安江生态科技有限公司劳务外包服务项目（二次）</w:t>
      </w:r>
    </w:p>
    <w:p w14:paraId="6041586F">
      <w:pPr>
        <w:tabs>
          <w:tab w:val="center" w:pos="4393"/>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3.采购方式：询比</w:t>
      </w:r>
    </w:p>
    <w:p w14:paraId="154D74A5">
      <w:pPr>
        <w:tabs>
          <w:tab w:val="center" w:pos="4393"/>
        </w:tabs>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4.预算金额：</w:t>
      </w:r>
      <w:r>
        <w:rPr>
          <w:rFonts w:hint="eastAsia" w:ascii="宋体" w:hAnsi="宋体" w:eastAsia="宋体" w:cs="宋体"/>
          <w:color w:val="auto"/>
          <w:sz w:val="24"/>
          <w:szCs w:val="24"/>
          <w:highlight w:val="none"/>
        </w:rPr>
        <w:t>199200</w:t>
      </w:r>
      <w:r>
        <w:rPr>
          <w:rFonts w:hint="eastAsia" w:ascii="宋体" w:hAnsi="宋体" w:eastAsia="宋体" w:cs="宋体"/>
          <w:color w:val="auto"/>
          <w:sz w:val="24"/>
          <w:szCs w:val="24"/>
          <w:highlight w:val="none"/>
          <w:lang w:val="en-US" w:eastAsia="zh-CN"/>
        </w:rPr>
        <w:t>元/年</w:t>
      </w:r>
    </w:p>
    <w:p w14:paraId="3AB3871D">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.最高限价：199200</w:t>
      </w:r>
      <w:r>
        <w:rPr>
          <w:rFonts w:hint="eastAsia" w:ascii="宋体" w:hAnsi="宋体" w:eastAsia="宋体" w:cs="宋体"/>
          <w:color w:val="auto"/>
          <w:sz w:val="24"/>
          <w:szCs w:val="24"/>
          <w:highlight w:val="none"/>
          <w:lang w:val="en-US" w:eastAsia="zh-CN"/>
        </w:rPr>
        <w:t>元/年，其中Ⅱ类劳务外包人员服务费全日制450元/月/人，非全日制350元/月/人。</w:t>
      </w:r>
    </w:p>
    <w:p w14:paraId="6ABF3E1B">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.采购</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：采购人拟选定专业合规的供应商，提供对应服务。劳务人员外包服务（40人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全日制</w:t>
      </w:r>
      <w:r>
        <w:rPr>
          <w:rFonts w:hint="eastAsia" w:ascii="宋体" w:hAnsi="宋体" w:eastAsia="宋体" w:cs="宋体"/>
          <w:color w:val="auto"/>
          <w:sz w:val="24"/>
          <w:szCs w:val="24"/>
          <w:highlight w:val="none"/>
          <w:lang w:val="en-US" w:eastAsia="zh-CN"/>
        </w:rPr>
        <w:t>26名</w:t>
      </w:r>
      <w:r>
        <w:rPr>
          <w:rFonts w:hint="eastAsia" w:ascii="宋体" w:hAnsi="宋体" w:eastAsia="宋体" w:cs="宋体"/>
          <w:color w:val="auto"/>
          <w:sz w:val="24"/>
          <w:szCs w:val="24"/>
          <w:highlight w:val="none"/>
        </w:rPr>
        <w:t>和非全日制</w:t>
      </w:r>
      <w:r>
        <w:rPr>
          <w:rFonts w:hint="eastAsia" w:ascii="宋体" w:hAnsi="宋体" w:eastAsia="宋体" w:cs="宋体"/>
          <w:color w:val="auto"/>
          <w:sz w:val="24"/>
          <w:szCs w:val="24"/>
          <w:highlight w:val="none"/>
          <w:lang w:val="en-US" w:eastAsia="zh-CN"/>
        </w:rPr>
        <w:t>14名。</w:t>
      </w:r>
      <w:r>
        <w:rPr>
          <w:rFonts w:hint="eastAsia" w:ascii="宋体" w:hAnsi="宋体" w:eastAsia="宋体" w:cs="宋体"/>
          <w:color w:val="auto"/>
          <w:sz w:val="24"/>
          <w:szCs w:val="24"/>
          <w:highlight w:val="none"/>
        </w:rPr>
        <w:t>其中：机修工</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名，门卫2名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巡检运维人员3</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具体详见</w:t>
      </w:r>
      <w:r>
        <w:rPr>
          <w:rFonts w:hint="eastAsia" w:ascii="宋体" w:hAnsi="宋体" w:eastAsia="宋体" w:cs="宋体"/>
          <w:color w:val="auto"/>
          <w:sz w:val="24"/>
          <w:szCs w:val="24"/>
          <w:highlight w:val="none"/>
          <w:lang w:val="en-US" w:eastAsia="zh-CN"/>
        </w:rPr>
        <w:t>采购需求</w:t>
      </w:r>
      <w:r>
        <w:rPr>
          <w:rFonts w:hint="eastAsia" w:ascii="宋体" w:hAnsi="宋体" w:eastAsia="宋体" w:cs="宋体"/>
          <w:color w:val="auto"/>
          <w:sz w:val="24"/>
          <w:szCs w:val="24"/>
          <w:highlight w:val="none"/>
          <w:lang w:eastAsia="zh-CN"/>
        </w:rPr>
        <w:t>。</w:t>
      </w:r>
    </w:p>
    <w:p w14:paraId="3748E9C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服务期限</w:t>
      </w:r>
      <w:r>
        <w:rPr>
          <w:rFonts w:hint="eastAsia" w:ascii="宋体" w:hAnsi="宋体" w:eastAsia="宋体" w:cs="宋体"/>
          <w:color w:val="auto"/>
          <w:sz w:val="24"/>
          <w:szCs w:val="24"/>
          <w:highlight w:val="none"/>
        </w:rPr>
        <w:t>：</w:t>
      </w:r>
      <w:r>
        <w:rPr>
          <w:rFonts w:hint="eastAsia" w:ascii="宋体" w:eastAsia="宋体" w:cs="宋体"/>
          <w:b w:val="0"/>
          <w:color w:val="auto"/>
          <w:sz w:val="24"/>
          <w:szCs w:val="24"/>
          <w:highlight w:val="none"/>
          <w:lang w:eastAsia="zh-CN"/>
        </w:rPr>
        <w:t>本项目总服务期限最长不超过3年，首次签订1年合同，首年履约完成后对成交供应商进行评价，评价得分高于80分（含）的成交供应商在采购人后续年度预算到位的情况下，可续签后续2年合同（合同1年1签），评价得分低于80分的不再续签。续签期间成交单价均不高于首次签订合同约定的对应成交单价。</w:t>
      </w:r>
    </w:p>
    <w:p w14:paraId="4FE4A6E8">
      <w:pPr>
        <w:spacing w:line="360" w:lineRule="auto"/>
        <w:ind w:left="479" w:leftChars="228" w:firstLine="0" w:firstLine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.标包划分：</w:t>
      </w:r>
      <w:r>
        <w:rPr>
          <w:rFonts w:hint="eastAsia" w:ascii="宋体" w:hAnsi="宋体" w:eastAsia="宋体" w:cs="宋体"/>
          <w:color w:val="auto"/>
          <w:sz w:val="24"/>
          <w:szCs w:val="24"/>
          <w:highlight w:val="none"/>
          <w:lang w:val="en-US" w:eastAsia="zh-CN"/>
        </w:rPr>
        <w:t>1个包。</w:t>
      </w:r>
    </w:p>
    <w:p w14:paraId="1D59E024">
      <w:pPr>
        <w:spacing w:line="360" w:lineRule="auto"/>
        <w:ind w:firstLine="482" w:firstLineChars="200"/>
        <w:rPr>
          <w:rFonts w:hint="eastAsia" w:ascii="宋体" w:hAnsi="宋体" w:eastAsia="宋体" w:cs="宋体"/>
          <w:b/>
          <w:bCs/>
          <w:color w:val="auto"/>
          <w:sz w:val="24"/>
          <w:szCs w:val="24"/>
          <w:highlight w:val="none"/>
        </w:rPr>
      </w:pPr>
      <w:bookmarkStart w:id="6" w:name="_Toc28359013"/>
      <w:bookmarkStart w:id="7" w:name="_Toc35393630"/>
      <w:bookmarkStart w:id="8" w:name="_Toc28359090"/>
      <w:bookmarkStart w:id="9" w:name="_Toc35393799"/>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的资格要求：</w:t>
      </w:r>
      <w:bookmarkEnd w:id="6"/>
      <w:bookmarkEnd w:id="7"/>
      <w:bookmarkEnd w:id="8"/>
      <w:bookmarkEnd w:id="9"/>
    </w:p>
    <w:p w14:paraId="2FFEE461">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供应商须具备独立承担民事责任能力的法人或其他组织。</w:t>
      </w:r>
    </w:p>
    <w:p w14:paraId="19C04B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2.本项目的特定资格要求：</w:t>
      </w:r>
      <w:r>
        <w:rPr>
          <w:rFonts w:hint="eastAsia" w:ascii="宋体" w:hAnsi="宋体" w:eastAsia="宋体" w:cs="宋体"/>
          <w:color w:val="auto"/>
          <w:sz w:val="24"/>
          <w:szCs w:val="24"/>
          <w:highlight w:val="none"/>
          <w:lang w:eastAsia="zh-CN"/>
        </w:rPr>
        <w:t>供应商具备人力资源和社会保障部门颁发的有效的《人力资源服务许可证》</w:t>
      </w:r>
      <w:r>
        <w:rPr>
          <w:rFonts w:hint="eastAsia" w:ascii="宋体" w:hAnsi="宋体" w:eastAsia="宋体" w:cs="宋体"/>
          <w:color w:val="auto"/>
          <w:sz w:val="24"/>
          <w:szCs w:val="24"/>
          <w:highlight w:val="none"/>
          <w:lang w:val="en-US" w:eastAsia="zh-CN"/>
        </w:rPr>
        <w:t>；</w:t>
      </w:r>
      <w:bookmarkStart w:id="10" w:name="_Toc28359014"/>
      <w:bookmarkStart w:id="11" w:name="_Toc28359091"/>
      <w:bookmarkStart w:id="12" w:name="_Toc35393800"/>
      <w:bookmarkStart w:id="13" w:name="_Toc35393631"/>
    </w:p>
    <w:p w14:paraId="058898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3.供应商不得存在以下不良记录：</w:t>
      </w:r>
    </w:p>
    <w:p w14:paraId="4ED0D43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（1）供应商被人民法院列入失信被执行人的；</w:t>
      </w:r>
    </w:p>
    <w:p w14:paraId="2AE58D1F">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（2）供应商被税务部门列入重大税收违法失信主体的；</w:t>
      </w:r>
    </w:p>
    <w:p w14:paraId="122A90F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（3）供应商被政府采购监管部门列入严重违法失信行为记录名单的。</w:t>
      </w:r>
    </w:p>
    <w:p w14:paraId="426F1C3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4.2023年1月1日（以合同签订时间为准）以来，</w:t>
      </w:r>
      <w:ins w:id="0" w:author="杨工" w:date="2026-08-10T12:05:46Z">
        <w:r>
          <w:rPr>
            <w:rFonts w:hint="eastAsia" w:ascii="宋体" w:hAnsi="宋体" w:cs="宋体"/>
            <w:color w:val="auto"/>
            <w:sz w:val="24"/>
            <w:szCs w:val="24"/>
            <w:highlight w:val="none"/>
            <w:lang w:val="en-US" w:eastAsia="zh-CN"/>
          </w:rPr>
          <w:t>供应商</w:t>
        </w:r>
      </w:ins>
      <w:r>
        <w:rPr>
          <w:rFonts w:hint="eastAsia" w:ascii="宋体" w:hAnsi="宋体" w:eastAsia="宋体" w:cs="宋体"/>
          <w:color w:val="auto"/>
          <w:sz w:val="24"/>
          <w:szCs w:val="24"/>
          <w:highlight w:val="none"/>
          <w:lang w:val="en-US" w:eastAsia="zh-CN"/>
        </w:rPr>
        <w:t>具有劳务外包服务业绩；</w:t>
      </w:r>
    </w:p>
    <w:p w14:paraId="0A14E0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.本次询比不接受联合体</w:t>
      </w:r>
      <w:r>
        <w:rPr>
          <w:rFonts w:hint="eastAsia" w:ascii="宋体" w:hAnsi="宋体" w:eastAsia="宋体" w:cs="宋体"/>
          <w:color w:val="auto"/>
          <w:sz w:val="24"/>
          <w:szCs w:val="24"/>
          <w:highlight w:val="none"/>
          <w:lang w:eastAsia="zh-CN"/>
        </w:rPr>
        <w:t>。</w:t>
      </w:r>
    </w:p>
    <w:p w14:paraId="64BE019B">
      <w:p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三、获取</w:t>
      </w:r>
      <w:bookmarkEnd w:id="10"/>
      <w:bookmarkEnd w:id="11"/>
      <w:bookmarkEnd w:id="12"/>
      <w:bookmarkEnd w:id="13"/>
      <w:r>
        <w:rPr>
          <w:rFonts w:hint="eastAsia" w:ascii="宋体" w:hAnsi="宋体" w:eastAsia="宋体" w:cs="宋体"/>
          <w:b/>
          <w:bCs/>
          <w:color w:val="auto"/>
          <w:sz w:val="24"/>
          <w:szCs w:val="24"/>
          <w:highlight w:val="none"/>
          <w:lang w:eastAsia="zh-CN"/>
        </w:rPr>
        <w:t>询比文件</w:t>
      </w:r>
    </w:p>
    <w:p w14:paraId="4C2899E8">
      <w:pPr>
        <w:spacing w:line="360" w:lineRule="auto"/>
        <w:ind w:firstLine="480" w:firstLineChars="200"/>
        <w:rPr>
          <w:rFonts w:hint="eastAsia" w:ascii="宋体" w:hAnsi="宋体" w:eastAsia="宋体" w:cs="宋体"/>
          <w:color w:val="auto"/>
          <w:sz w:val="24"/>
          <w:szCs w:val="24"/>
          <w:highlight w:val="none"/>
          <w:u w:val="none"/>
        </w:rPr>
      </w:pPr>
      <w:bookmarkStart w:id="14" w:name="_Toc28359092"/>
      <w:bookmarkStart w:id="15" w:name="_Toc28359015"/>
      <w:bookmarkStart w:id="16" w:name="_Toc35393632"/>
      <w:bookmarkStart w:id="17" w:name="_Toc35393801"/>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eastAsia="zh-CN"/>
        </w:rPr>
        <w:t>2026年</w:t>
      </w:r>
      <w:r>
        <w:rPr>
          <w:rFonts w:hint="eastAsia" w:ascii="宋体" w:hAnsi="宋体" w:cs="宋体"/>
          <w:color w:val="auto"/>
          <w:sz w:val="24"/>
          <w:szCs w:val="24"/>
          <w:highlight w:val="none"/>
          <w:u w:val="single"/>
          <w:lang w:val="en-US" w:eastAsia="zh-CN"/>
        </w:rPr>
        <w:t>08</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26</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eastAsia="zh-CN"/>
        </w:rPr>
        <w:t>2026年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03</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none"/>
        </w:rPr>
        <w:t>（至响应文件提交截止时间前）</w:t>
      </w:r>
    </w:p>
    <w:p w14:paraId="731372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方式：登录“安徽广电电子交易平台（http://www.ahgdxg.com）”报名，按相关程序购买</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w:t>
      </w:r>
    </w:p>
    <w:p w14:paraId="05EFA387">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bookmarkEnd w:id="14"/>
      <w:bookmarkEnd w:id="15"/>
      <w:bookmarkEnd w:id="16"/>
      <w:bookmarkEnd w:id="17"/>
    </w:p>
    <w:p w14:paraId="206E01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w:t>
      </w:r>
      <w:r>
        <w:rPr>
          <w:rFonts w:hint="eastAsia" w:ascii="宋体" w:hAnsi="宋体" w:eastAsia="宋体" w:cs="宋体"/>
          <w:color w:val="auto"/>
          <w:sz w:val="24"/>
          <w:szCs w:val="24"/>
          <w:highlight w:val="none"/>
          <w:lang w:eastAsia="zh-CN"/>
        </w:rPr>
        <w:t>2026年</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03</w:t>
      </w:r>
      <w:bookmarkStart w:id="57" w:name="_GoBack"/>
      <w:bookmarkEnd w:id="57"/>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14点30分</w:t>
      </w:r>
      <w:r>
        <w:rPr>
          <w:rFonts w:hint="eastAsia" w:ascii="宋体" w:hAnsi="宋体" w:eastAsia="宋体" w:cs="宋体"/>
          <w:color w:val="auto"/>
          <w:sz w:val="24"/>
          <w:szCs w:val="24"/>
          <w:highlight w:val="none"/>
        </w:rPr>
        <w:t>（北京时间）</w:t>
      </w:r>
    </w:p>
    <w:p w14:paraId="1A4A7234">
      <w:pPr>
        <w:spacing w:line="360" w:lineRule="auto"/>
        <w:ind w:firstLine="480" w:firstLineChars="200"/>
        <w:rPr>
          <w:rFonts w:hint="eastAsia" w:ascii="宋体" w:hAnsi="宋体" w:eastAsia="宋体" w:cs="宋体"/>
          <w:color w:val="auto"/>
          <w:sz w:val="24"/>
          <w:szCs w:val="24"/>
          <w:highlight w:val="none"/>
        </w:rPr>
      </w:pPr>
      <w:bookmarkStart w:id="18" w:name="_Toc35393633"/>
      <w:bookmarkStart w:id="19" w:name="_Toc35393802"/>
      <w:bookmarkStart w:id="20" w:name="_Toc28359016"/>
      <w:bookmarkStart w:id="21" w:name="_Toc28359093"/>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zh-CN"/>
        </w:rPr>
        <w:t>开标时间：同响应文件截止时间</w:t>
      </w:r>
    </w:p>
    <w:p w14:paraId="0A7DAD25">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lang w:eastAsia="zh-CN"/>
        </w:rPr>
        <w:t>安徽广电电子交易平台</w:t>
      </w:r>
      <w:r>
        <w:rPr>
          <w:rFonts w:hint="eastAsia" w:ascii="宋体" w:hAnsi="宋体" w:eastAsia="宋体" w:cs="宋体"/>
          <w:color w:val="auto"/>
          <w:sz w:val="24"/>
          <w:szCs w:val="24"/>
          <w:highlight w:val="none"/>
        </w:rPr>
        <w:t>”在线递交（全流程电子标）</w:t>
      </w:r>
    </w:p>
    <w:p w14:paraId="2DF8031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bookmarkEnd w:id="18"/>
      <w:bookmarkEnd w:id="19"/>
      <w:bookmarkEnd w:id="20"/>
      <w:bookmarkEnd w:id="21"/>
      <w:bookmarkStart w:id="22" w:name="_Toc35393634"/>
      <w:bookmarkStart w:id="23" w:name="_Toc28359017"/>
      <w:bookmarkStart w:id="24" w:name="_Toc35393803"/>
      <w:bookmarkStart w:id="25" w:name="_Toc28359094"/>
      <w:r>
        <w:rPr>
          <w:rFonts w:hint="eastAsia" w:ascii="宋体" w:hAnsi="宋体" w:eastAsia="宋体" w:cs="宋体"/>
          <w:b/>
          <w:bCs/>
          <w:color w:val="auto"/>
          <w:sz w:val="24"/>
          <w:szCs w:val="24"/>
          <w:highlight w:val="none"/>
        </w:rPr>
        <w:t>公告期限</w:t>
      </w:r>
      <w:bookmarkEnd w:id="22"/>
      <w:bookmarkEnd w:id="23"/>
      <w:bookmarkEnd w:id="24"/>
      <w:bookmarkEnd w:id="25"/>
    </w:p>
    <w:p w14:paraId="655FC0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w:t>
      </w:r>
      <w:r>
        <w:rPr>
          <w:rFonts w:hint="eastAsia" w:ascii="宋体" w:hAnsi="宋体" w:eastAsia="宋体" w:cs="宋体"/>
          <w:color w:val="auto"/>
          <w:sz w:val="24"/>
          <w:szCs w:val="24"/>
          <w:highlight w:val="none"/>
          <w:lang w:val="en-US" w:eastAsia="zh-CN"/>
        </w:rPr>
        <w:t>3个工作</w:t>
      </w:r>
      <w:r>
        <w:rPr>
          <w:rFonts w:hint="eastAsia" w:ascii="宋体" w:hAnsi="宋体" w:eastAsia="宋体" w:cs="宋体"/>
          <w:color w:val="auto"/>
          <w:sz w:val="24"/>
          <w:szCs w:val="24"/>
          <w:highlight w:val="none"/>
        </w:rPr>
        <w:t>日。</w:t>
      </w:r>
    </w:p>
    <w:p w14:paraId="4B55BB4E">
      <w:pPr>
        <w:spacing w:line="360" w:lineRule="auto"/>
        <w:ind w:firstLine="482" w:firstLineChars="200"/>
        <w:rPr>
          <w:rFonts w:hint="eastAsia" w:ascii="宋体" w:hAnsi="宋体" w:eastAsia="宋体" w:cs="宋体"/>
          <w:b/>
          <w:bCs/>
          <w:color w:val="auto"/>
          <w:sz w:val="24"/>
          <w:szCs w:val="24"/>
          <w:highlight w:val="none"/>
        </w:rPr>
      </w:pPr>
      <w:bookmarkStart w:id="26" w:name="_Toc35393635"/>
      <w:bookmarkStart w:id="27" w:name="_Toc35393804"/>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、其他补充事宜</w:t>
      </w:r>
      <w:bookmarkEnd w:id="26"/>
      <w:bookmarkEnd w:id="27"/>
    </w:p>
    <w:p w14:paraId="406E0ABB">
      <w:pPr>
        <w:pStyle w:val="20"/>
        <w:keepNext w:val="0"/>
        <w:keepLines w:val="0"/>
        <w:widowControl/>
        <w:suppressLineNumbers w:val="0"/>
        <w:wordWrap w:val="0"/>
        <w:spacing w:before="0" w:beforeAutospacing="0" w:after="0" w:afterAutospacing="0" w:line="360" w:lineRule="auto"/>
        <w:ind w:left="0" w:right="0"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1.本次询比公告同时在安徽省招标投标信息网（www.ahtba.org.cn）、安徽广电电子交易平台（http://www.ahgdxg.com）</w:t>
      </w:r>
      <w:r>
        <w:rPr>
          <w:rFonts w:hint="eastAsia" w:ascii="宋体" w:hAnsi="宋体" w:cs="宋体"/>
          <w:color w:val="auto"/>
          <w:kern w:val="2"/>
          <w:sz w:val="24"/>
          <w:szCs w:val="24"/>
          <w:highlight w:val="none"/>
          <w:lang w:val="en-US" w:eastAsia="zh-CN" w:bidi="ar-SA"/>
        </w:rPr>
        <w:t>、安徽省生态环境产业集团在线招投标平台（http://zb.aestit.com）、安徽省招标咨询网（http://www.ahbc.com.cn/）、安徽环境科技集团股份有限公司（http://www.ahest.cn）</w:t>
      </w:r>
      <w:r>
        <w:rPr>
          <w:rFonts w:hint="eastAsia" w:ascii="宋体" w:hAnsi="宋体" w:eastAsia="宋体" w:cs="宋体"/>
          <w:color w:val="auto"/>
          <w:kern w:val="2"/>
          <w:sz w:val="24"/>
          <w:szCs w:val="24"/>
          <w:highlight w:val="none"/>
          <w:lang w:val="en-US" w:eastAsia="zh-CN" w:bidi="ar-SA"/>
        </w:rPr>
        <w:t>上发布。</w:t>
      </w:r>
    </w:p>
    <w:p w14:paraId="72C23428">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bookmarkStart w:id="28" w:name="OLE_LINK3"/>
      <w:r>
        <w:rPr>
          <w:rFonts w:hint="eastAsia" w:ascii="宋体" w:hAnsi="宋体" w:eastAsia="宋体" w:cs="宋体"/>
          <w:color w:val="auto"/>
          <w:kern w:val="2"/>
          <w:sz w:val="24"/>
          <w:szCs w:val="24"/>
          <w:highlight w:val="none"/>
          <w:lang w:val="en-US" w:eastAsia="zh-CN" w:bidi="ar-SA"/>
        </w:rPr>
        <w:t>询比文件</w:t>
      </w:r>
      <w:bookmarkEnd w:id="28"/>
      <w:r>
        <w:rPr>
          <w:rFonts w:hint="eastAsia" w:ascii="宋体" w:hAnsi="宋体" w:eastAsia="宋体" w:cs="宋体"/>
          <w:color w:val="auto"/>
          <w:kern w:val="2"/>
          <w:sz w:val="24"/>
          <w:szCs w:val="24"/>
          <w:highlight w:val="none"/>
          <w:lang w:val="en-US" w:eastAsia="zh-CN" w:bidi="ar-SA"/>
        </w:rPr>
        <w:t>获取过程中有任何疑问，请在工作时间（工作日：9:00-12:00，14:00-17:00，节假日休息）拨打代理机构联系电话。供应商应合理安排询比文件获取时间，特别是网络速度慢的地区防止在系统关闭前网络拥堵无法操作。如果因计算机及网络故障造成无法完成询比文件获取，责任自负。</w:t>
      </w:r>
    </w:p>
    <w:p w14:paraId="180B440F">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3.其他事项说明：</w:t>
      </w:r>
    </w:p>
    <w:p w14:paraId="7E54A77E">
      <w:pPr>
        <w:pStyle w:val="2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1.供应商注册及报名详见链接：http://www.ahgdxg.com/qydt/004001/20241018/d69707cb-633a-4ffe-b3f8-50faf5c7b0c6.html</w:t>
      </w:r>
    </w:p>
    <w:p w14:paraId="4BDB3C1E">
      <w:pPr>
        <w:pStyle w:val="2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2.供应商电子标投标详见链接：</w:t>
      </w: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"http://www.ahgdxg.com/qydt/"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http://www.ahgdxg.com/qydt/</w:t>
      </w:r>
      <w:r>
        <w:rPr>
          <w:rFonts w:hint="eastAsia" w:ascii="宋体" w:hAnsi="宋体" w:eastAsia="宋体" w:cs="宋体"/>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t>004001/20221014/d8ce1ee7-4cc3-41b3-8932-809f337dca6b.html</w:t>
      </w:r>
    </w:p>
    <w:p w14:paraId="5264188C">
      <w:p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lang w:val="en-US" w:eastAsia="zh-CN"/>
        </w:rPr>
        <w:t>、凡对本次采购提出询问，请按以下方式联系</w:t>
      </w:r>
    </w:p>
    <w:p w14:paraId="10F20A86">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1.采购人信息</w:t>
      </w:r>
    </w:p>
    <w:p w14:paraId="311F96FB">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名称：安徽环境新安江生态科技有限公司</w:t>
      </w:r>
    </w:p>
    <w:p w14:paraId="3013E76F">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地址：安徽省黄山市屯溪区金山路3号</w:t>
      </w:r>
    </w:p>
    <w:p w14:paraId="6279AC69">
      <w:pPr>
        <w:pStyle w:val="20"/>
        <w:keepNext w:val="0"/>
        <w:keepLines w:val="0"/>
        <w:widowControl/>
        <w:suppressLineNumbers w:val="0"/>
        <w:spacing w:before="0" w:beforeAutospacing="0" w:after="0" w:afterAutospacing="0" w:line="360" w:lineRule="auto"/>
        <w:ind w:left="0" w:right="0" w:firstLine="48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联系人及联系方式：</w:t>
      </w:r>
      <w:r>
        <w:rPr>
          <w:rFonts w:hint="eastAsia" w:ascii="宋体" w:hAnsi="宋体" w:cs="宋体"/>
          <w:color w:val="auto"/>
          <w:kern w:val="2"/>
          <w:szCs w:val="24"/>
          <w:highlight w:val="none"/>
          <w:lang w:val="en-US" w:eastAsia="zh-CN"/>
        </w:rPr>
        <w:t>刘姝鹇 15675591050</w:t>
      </w:r>
    </w:p>
    <w:p w14:paraId="61DCE341">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2.采购代理机构信息</w:t>
      </w:r>
    </w:p>
    <w:p w14:paraId="4A833BD9">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名称：安徽广电项目管理有限公司</w:t>
      </w:r>
    </w:p>
    <w:p w14:paraId="7AF58669">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地址：安徽省合肥市望江西路766号广电大厦5层</w:t>
      </w:r>
    </w:p>
    <w:p w14:paraId="3BECDE92">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联系方式：0551-65614233</w:t>
      </w:r>
    </w:p>
    <w:p w14:paraId="71F8AD7A">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3.项目联系方式</w:t>
      </w:r>
    </w:p>
    <w:p w14:paraId="06E256E0">
      <w:pPr>
        <w:pStyle w:val="20"/>
        <w:keepNext w:val="0"/>
        <w:keepLines w:val="0"/>
        <w:widowControl/>
        <w:suppressLineNumbers w:val="0"/>
        <w:spacing w:before="0" w:beforeAutospacing="0" w:after="0" w:afterAutospacing="0" w:line="360" w:lineRule="auto"/>
        <w:ind w:left="0" w:right="0"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项目联系人：杨工</w:t>
      </w:r>
    </w:p>
    <w:p w14:paraId="6DDF0CD9">
      <w:pPr>
        <w:pStyle w:val="20"/>
        <w:keepNext w:val="0"/>
        <w:keepLines w:val="0"/>
        <w:widowControl/>
        <w:suppressLineNumbers w:val="0"/>
        <w:spacing w:before="0" w:beforeAutospacing="0" w:after="0" w:afterAutospacing="0" w:line="360" w:lineRule="auto"/>
        <w:ind w:left="0" w:right="0" w:firstLine="48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电话：0551-</w:t>
      </w:r>
      <w:r>
        <w:rPr>
          <w:rFonts w:hint="eastAsia" w:ascii="仿宋" w:hAnsi="仿宋" w:eastAsia="仿宋" w:cs="仿宋"/>
          <w:color w:val="auto"/>
          <w:sz w:val="24"/>
          <w:szCs w:val="24"/>
          <w:highlight w:val="none"/>
          <w:lang w:eastAsia="zh-CN"/>
        </w:rPr>
        <w:t>65614233</w:t>
      </w:r>
      <w:r>
        <w:rPr>
          <w:rFonts w:hint="eastAsia" w:ascii="宋体" w:hAnsi="宋体" w:eastAsia="宋体" w:cs="宋体"/>
          <w:color w:val="auto"/>
          <w:kern w:val="2"/>
          <w:sz w:val="24"/>
          <w:szCs w:val="24"/>
          <w:highlight w:val="none"/>
          <w:lang w:val="en-US" w:eastAsia="zh-CN" w:bidi="ar-SA"/>
        </w:rPr>
        <w:t>、17755150137</w:t>
      </w:r>
    </w:p>
    <w:p w14:paraId="01E21DB8">
      <w:pPr>
        <w:pStyle w:val="20"/>
        <w:keepNext w:val="0"/>
        <w:keepLines w:val="0"/>
        <w:widowControl/>
        <w:suppressLineNumbers w:val="0"/>
        <w:spacing w:before="0" w:beforeAutospacing="0" w:after="0" w:afterAutospacing="0" w:line="360" w:lineRule="auto"/>
        <w:ind w:left="0" w:right="0" w:firstLine="48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邮箱：</w:t>
      </w: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"mailto:2630643580@qq.com"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1347063534@qq.com</w:t>
      </w:r>
      <w:r>
        <w:rPr>
          <w:rFonts w:hint="eastAsia" w:ascii="宋体" w:hAnsi="宋体" w:eastAsia="宋体" w:cs="宋体"/>
          <w:color w:val="auto"/>
          <w:kern w:val="2"/>
          <w:sz w:val="24"/>
          <w:szCs w:val="24"/>
          <w:highlight w:val="none"/>
          <w:lang w:val="en-US" w:eastAsia="zh-CN" w:bidi="ar-SA"/>
        </w:rPr>
        <w:fldChar w:fldCharType="end"/>
      </w:r>
    </w:p>
    <w:p w14:paraId="4E70B7D9">
      <w:pPr>
        <w:spacing w:line="360" w:lineRule="auto"/>
        <w:ind w:firstLine="480" w:firstLineChars="200"/>
        <w:jc w:val="center"/>
        <w:outlineLvl w:val="0"/>
        <w:rPr>
          <w:rFonts w:hint="eastAsia" w:ascii="宋体"/>
          <w:b/>
          <w:color w:val="auto"/>
          <w:sz w:val="28"/>
          <w:highlight w:val="none"/>
        </w:rPr>
      </w:pPr>
      <w:r>
        <w:rPr>
          <w:rFonts w:hint="eastAsia" w:ascii="宋体" w:hAnsi="宋体" w:eastAsia="宋体" w:cs="宋体"/>
          <w:color w:val="auto"/>
          <w:kern w:val="2"/>
          <w:sz w:val="24"/>
          <w:szCs w:val="24"/>
          <w:highlight w:val="none"/>
          <w:lang w:val="en-US" w:eastAsia="zh-CN" w:bidi="ar-SA"/>
        </w:rPr>
        <w:br w:type="page"/>
      </w:r>
      <w:bookmarkStart w:id="29" w:name="_Toc16552"/>
      <w:r>
        <w:rPr>
          <w:rFonts w:hint="eastAsia" w:ascii="宋体"/>
          <w:b/>
          <w:color w:val="auto"/>
          <w:sz w:val="28"/>
          <w:highlight w:val="none"/>
        </w:rPr>
        <w:t>第二章  供应商须知</w:t>
      </w:r>
      <w:bookmarkEnd w:id="29"/>
    </w:p>
    <w:p w14:paraId="04A9D46D">
      <w:pPr>
        <w:spacing w:line="360" w:lineRule="auto"/>
        <w:jc w:val="center"/>
        <w:outlineLvl w:val="9"/>
        <w:rPr>
          <w:rFonts w:hint="eastAsia" w:ascii="宋体"/>
          <w:b/>
          <w:color w:val="auto"/>
          <w:sz w:val="24"/>
          <w:highlight w:val="none"/>
        </w:rPr>
      </w:pPr>
      <w:r>
        <w:rPr>
          <w:rFonts w:hint="eastAsia" w:ascii="宋体"/>
          <w:b/>
          <w:color w:val="auto"/>
          <w:sz w:val="24"/>
          <w:highlight w:val="none"/>
        </w:rPr>
        <w:t>一、供应商须知前附表</w:t>
      </w:r>
    </w:p>
    <w:p w14:paraId="5CA93163">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26"/>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723"/>
        <w:gridCol w:w="6026"/>
      </w:tblGrid>
      <w:tr w14:paraId="57AC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7D8236AC">
            <w:pPr>
              <w:pStyle w:val="51"/>
              <w:widowControl w:val="0"/>
              <w:spacing w:before="0" w:beforeAutospacing="0" w:after="0" w:afterAutospacing="0"/>
              <w:rPr>
                <w:rFonts w:hint="eastAsia" w:ascii="宋体" w:cs="宋体"/>
                <w:bCs w:val="0"/>
                <w:color w:val="auto"/>
                <w:sz w:val="24"/>
                <w:szCs w:val="24"/>
                <w:highlight w:val="none"/>
              </w:rPr>
            </w:pPr>
            <w:r>
              <w:rPr>
                <w:rFonts w:hint="eastAsia" w:ascii="宋体" w:cs="宋体"/>
                <w:bCs w:val="0"/>
                <w:color w:val="auto"/>
                <w:sz w:val="24"/>
                <w:szCs w:val="24"/>
                <w:highlight w:val="none"/>
              </w:rPr>
              <w:t>条款号</w:t>
            </w:r>
          </w:p>
        </w:tc>
        <w:tc>
          <w:tcPr>
            <w:tcW w:w="1723" w:type="dxa"/>
            <w:noWrap w:val="0"/>
            <w:vAlign w:val="center"/>
          </w:tcPr>
          <w:p w14:paraId="1EDBD8D3">
            <w:pPr>
              <w:pStyle w:val="51"/>
              <w:widowControl w:val="0"/>
              <w:spacing w:before="0" w:beforeAutospacing="0" w:after="0" w:afterAutospacing="0"/>
              <w:rPr>
                <w:rFonts w:hint="eastAsia" w:ascii="宋体" w:cs="宋体"/>
                <w:bCs w:val="0"/>
                <w:color w:val="auto"/>
                <w:sz w:val="24"/>
                <w:szCs w:val="24"/>
                <w:highlight w:val="none"/>
              </w:rPr>
            </w:pPr>
            <w:r>
              <w:rPr>
                <w:rFonts w:hint="eastAsia" w:ascii="宋体" w:cs="宋体"/>
                <w:bCs w:val="0"/>
                <w:color w:val="auto"/>
                <w:sz w:val="24"/>
                <w:szCs w:val="24"/>
                <w:highlight w:val="none"/>
              </w:rPr>
              <w:t>条款名称</w:t>
            </w:r>
          </w:p>
        </w:tc>
        <w:tc>
          <w:tcPr>
            <w:tcW w:w="6026" w:type="dxa"/>
            <w:noWrap w:val="0"/>
            <w:vAlign w:val="center"/>
          </w:tcPr>
          <w:p w14:paraId="369F65ED">
            <w:pPr>
              <w:pStyle w:val="51"/>
              <w:widowControl w:val="0"/>
              <w:spacing w:before="0" w:beforeAutospacing="0" w:after="0" w:afterAutospacing="0"/>
              <w:rPr>
                <w:rFonts w:hint="eastAsia" w:ascii="宋体" w:cs="宋体"/>
                <w:bCs w:val="0"/>
                <w:color w:val="auto"/>
                <w:sz w:val="24"/>
                <w:szCs w:val="24"/>
                <w:highlight w:val="none"/>
              </w:rPr>
            </w:pPr>
            <w:r>
              <w:rPr>
                <w:rFonts w:hint="eastAsia" w:ascii="宋体" w:cs="宋体"/>
                <w:bCs w:val="0"/>
                <w:color w:val="auto"/>
                <w:sz w:val="24"/>
                <w:szCs w:val="24"/>
                <w:highlight w:val="none"/>
              </w:rPr>
              <w:t>内容、说明与要求</w:t>
            </w:r>
          </w:p>
        </w:tc>
      </w:tr>
      <w:tr w14:paraId="2968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6B4B2203">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3.1</w:t>
            </w:r>
          </w:p>
        </w:tc>
        <w:tc>
          <w:tcPr>
            <w:tcW w:w="1723" w:type="dxa"/>
            <w:noWrap w:val="0"/>
            <w:vAlign w:val="center"/>
          </w:tcPr>
          <w:p w14:paraId="79857C98">
            <w:pPr>
              <w:pStyle w:val="51"/>
              <w:widowControl w:val="0"/>
              <w:spacing w:before="0" w:beforeAutospacing="0" w:after="0" w:afterAutospacing="0"/>
              <w:jc w:val="left"/>
              <w:rPr>
                <w:rFonts w:hint="eastAsia" w:ascii="宋体" w:cs="宋体"/>
                <w:b w:val="0"/>
                <w:bCs w:val="0"/>
                <w:color w:val="auto"/>
                <w:sz w:val="24"/>
                <w:szCs w:val="24"/>
                <w:highlight w:val="none"/>
              </w:rPr>
            </w:pPr>
            <w:r>
              <w:rPr>
                <w:rFonts w:hint="eastAsia" w:ascii="宋体" w:cs="宋体"/>
                <w:b w:val="0"/>
                <w:bCs w:val="0"/>
                <w:color w:val="auto"/>
                <w:sz w:val="24"/>
                <w:szCs w:val="24"/>
                <w:highlight w:val="none"/>
              </w:rPr>
              <w:t>采购人</w:t>
            </w:r>
          </w:p>
        </w:tc>
        <w:tc>
          <w:tcPr>
            <w:tcW w:w="6026" w:type="dxa"/>
            <w:noWrap w:val="0"/>
            <w:vAlign w:val="center"/>
          </w:tcPr>
          <w:p w14:paraId="6F1D3090">
            <w:pPr>
              <w:pStyle w:val="51"/>
              <w:widowControl w:val="0"/>
              <w:spacing w:before="0" w:beforeAutospacing="0" w:after="0" w:afterAutospacing="0"/>
              <w:jc w:val="both"/>
              <w:rPr>
                <w:rFonts w:hint="eastAsia" w:ascii="宋体" w:eastAsia="宋体" w:cs="宋体"/>
                <w:b w:val="0"/>
                <w:bCs w:val="0"/>
                <w:color w:val="auto"/>
                <w:sz w:val="24"/>
                <w:szCs w:val="24"/>
                <w:highlight w:val="none"/>
                <w:lang w:eastAsia="zh-CN"/>
              </w:rPr>
            </w:pPr>
            <w:r>
              <w:rPr>
                <w:rFonts w:hint="eastAsia" w:ascii="宋体" w:cs="宋体"/>
                <w:b w:val="0"/>
                <w:bCs w:val="0"/>
                <w:color w:val="auto"/>
                <w:sz w:val="24"/>
                <w:szCs w:val="24"/>
                <w:highlight w:val="none"/>
                <w:lang w:eastAsia="zh-CN"/>
              </w:rPr>
              <w:t>安徽环境新安江生态科技有限公司</w:t>
            </w:r>
          </w:p>
        </w:tc>
      </w:tr>
      <w:tr w14:paraId="2BC3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3795D22F">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3.2</w:t>
            </w:r>
          </w:p>
        </w:tc>
        <w:tc>
          <w:tcPr>
            <w:tcW w:w="1723" w:type="dxa"/>
            <w:noWrap w:val="0"/>
            <w:vAlign w:val="center"/>
          </w:tcPr>
          <w:p w14:paraId="778EC88E">
            <w:pPr>
              <w:pStyle w:val="51"/>
              <w:widowControl w:val="0"/>
              <w:spacing w:before="0" w:beforeAutospacing="0" w:after="0" w:afterAutospacing="0"/>
              <w:jc w:val="left"/>
              <w:rPr>
                <w:rFonts w:hint="eastAsia" w:ascii="宋体" w:cs="宋体"/>
                <w:b w:val="0"/>
                <w:bCs w:val="0"/>
                <w:color w:val="auto"/>
                <w:sz w:val="24"/>
                <w:szCs w:val="24"/>
                <w:highlight w:val="none"/>
              </w:rPr>
            </w:pPr>
            <w:r>
              <w:rPr>
                <w:rFonts w:hint="eastAsia" w:ascii="宋体" w:cs="宋体"/>
                <w:b w:val="0"/>
                <w:bCs w:val="0"/>
                <w:color w:val="auto"/>
                <w:sz w:val="24"/>
                <w:szCs w:val="24"/>
                <w:highlight w:val="none"/>
              </w:rPr>
              <w:t>采购代理机构</w:t>
            </w:r>
          </w:p>
        </w:tc>
        <w:tc>
          <w:tcPr>
            <w:tcW w:w="6026" w:type="dxa"/>
            <w:noWrap w:val="0"/>
            <w:vAlign w:val="center"/>
          </w:tcPr>
          <w:p w14:paraId="0C624A5A">
            <w:pPr>
              <w:pStyle w:val="51"/>
              <w:widowControl w:val="0"/>
              <w:spacing w:before="0" w:beforeAutospacing="0" w:after="0" w:afterAutospacing="0"/>
              <w:jc w:val="both"/>
              <w:rPr>
                <w:rFonts w:hint="eastAsia" w:ascii="宋体" w:cs="宋体"/>
                <w:b w:val="0"/>
                <w:bCs w:val="0"/>
                <w:color w:val="auto"/>
                <w:sz w:val="24"/>
                <w:szCs w:val="24"/>
                <w:highlight w:val="none"/>
              </w:rPr>
            </w:pPr>
            <w:r>
              <w:rPr>
                <w:rFonts w:hint="eastAsia" w:ascii="宋体" w:cs="宋体"/>
                <w:b w:val="0"/>
                <w:bCs w:val="0"/>
                <w:color w:val="auto"/>
                <w:sz w:val="24"/>
                <w:szCs w:val="24"/>
                <w:highlight w:val="none"/>
              </w:rPr>
              <w:t>安徽广电项目管理有限公司</w:t>
            </w:r>
          </w:p>
        </w:tc>
      </w:tr>
      <w:tr w14:paraId="6FEF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3B62DE13">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7.3</w:t>
            </w:r>
          </w:p>
        </w:tc>
        <w:tc>
          <w:tcPr>
            <w:tcW w:w="1723" w:type="dxa"/>
            <w:noWrap w:val="0"/>
            <w:vAlign w:val="center"/>
          </w:tcPr>
          <w:p w14:paraId="76D8652C">
            <w:pPr>
              <w:pStyle w:val="51"/>
              <w:widowControl w:val="0"/>
              <w:spacing w:before="0" w:beforeAutospacing="0" w:after="0" w:afterAutospacing="0"/>
              <w:jc w:val="left"/>
              <w:rPr>
                <w:rFonts w:hint="eastAsia" w:ascii="宋体" w:cs="宋体"/>
                <w:b w:val="0"/>
                <w:color w:val="auto"/>
                <w:sz w:val="24"/>
                <w:szCs w:val="24"/>
                <w:highlight w:val="none"/>
              </w:rPr>
            </w:pPr>
            <w:r>
              <w:rPr>
                <w:rFonts w:hint="eastAsia" w:ascii="宋体" w:cs="宋体"/>
                <w:b w:val="0"/>
                <w:color w:val="auto"/>
                <w:sz w:val="24"/>
                <w:szCs w:val="24"/>
                <w:highlight w:val="none"/>
              </w:rPr>
              <w:t>现场踏勘</w:t>
            </w:r>
          </w:p>
        </w:tc>
        <w:tc>
          <w:tcPr>
            <w:tcW w:w="6026" w:type="dxa"/>
            <w:noWrap w:val="0"/>
            <w:vAlign w:val="center"/>
          </w:tcPr>
          <w:p w14:paraId="1D2C5975">
            <w:pPr>
              <w:rPr>
                <w:rFonts w:hint="eastAsia" w:ascii="宋体" w:cs="宋体"/>
                <w:bCs/>
                <w:color w:val="auto"/>
                <w:sz w:val="24"/>
                <w:szCs w:val="24"/>
                <w:highlight w:val="none"/>
              </w:rPr>
            </w:pPr>
            <w:r>
              <w:rPr>
                <w:rFonts w:hint="eastAsia" w:ascii="MS Mincho" w:hAnsi="MS Mincho" w:eastAsia="MS Mincho" w:cs="MS Mincho"/>
                <w:b/>
                <w:bCs/>
                <w:color w:val="auto"/>
                <w:sz w:val="24"/>
                <w:szCs w:val="24"/>
                <w:highlight w:val="none"/>
              </w:rPr>
              <w:t>☑</w:t>
            </w:r>
            <w:r>
              <w:rPr>
                <w:rFonts w:hint="eastAsia" w:ascii="宋体" w:cs="宋体"/>
                <w:bCs/>
                <w:color w:val="auto"/>
                <w:sz w:val="24"/>
                <w:szCs w:val="24"/>
                <w:highlight w:val="none"/>
              </w:rPr>
              <w:t>自行踏勘</w:t>
            </w:r>
          </w:p>
          <w:p w14:paraId="2218508E">
            <w:pPr>
              <w:rPr>
                <w:rFonts w:hint="eastAsia" w:ascii="宋体" w:cs="宋体"/>
                <w:bCs/>
                <w:color w:val="auto"/>
                <w:sz w:val="24"/>
                <w:szCs w:val="24"/>
                <w:highlight w:val="none"/>
              </w:rPr>
            </w:pPr>
            <w:r>
              <w:rPr>
                <w:rFonts w:ascii="宋体" w:cs="宋体"/>
                <w:color w:val="auto"/>
                <w:sz w:val="24"/>
                <w:szCs w:val="24"/>
                <w:highlight w:val="none"/>
              </w:rPr>
              <w:sym w:font="Wingdings" w:char="00A8"/>
            </w:r>
            <w:r>
              <w:rPr>
                <w:rFonts w:hint="eastAsia" w:ascii="宋体" w:cs="宋体"/>
                <w:bCs/>
                <w:color w:val="auto"/>
                <w:sz w:val="24"/>
                <w:szCs w:val="24"/>
                <w:highlight w:val="none"/>
              </w:rPr>
              <w:t>集中组织</w:t>
            </w:r>
          </w:p>
          <w:p w14:paraId="5247224A">
            <w:pPr>
              <w:rPr>
                <w:rFonts w:hint="eastAsia" w:ascii="宋体" w:cs="宋体"/>
                <w:bCs/>
                <w:color w:val="auto"/>
                <w:sz w:val="24"/>
                <w:szCs w:val="24"/>
                <w:highlight w:val="none"/>
                <w:u w:val="single"/>
              </w:rPr>
            </w:pPr>
            <w:r>
              <w:rPr>
                <w:rFonts w:hint="eastAsia" w:ascii="宋体" w:cs="宋体"/>
                <w:bCs/>
                <w:color w:val="auto"/>
                <w:sz w:val="24"/>
                <w:szCs w:val="24"/>
                <w:highlight w:val="none"/>
              </w:rPr>
              <w:t>时间：</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rPr>
              <w:t>年</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rPr>
              <w:t>月</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rPr>
              <w:t>日</w:t>
            </w:r>
            <w:r>
              <w:rPr>
                <w:rFonts w:hint="eastAsia" w:ascii="宋体" w:cs="宋体"/>
                <w:bCs/>
                <w:color w:val="auto"/>
                <w:sz w:val="24"/>
                <w:szCs w:val="24"/>
                <w:highlight w:val="none"/>
                <w:u w:val="single"/>
              </w:rPr>
              <w:t xml:space="preserve">    </w:t>
            </w:r>
          </w:p>
          <w:p w14:paraId="3DAA8B15">
            <w:pPr>
              <w:rPr>
                <w:rFonts w:hint="default" w:ascii="宋体" w:eastAsia="宋体" w:cs="宋体"/>
                <w:bCs/>
                <w:color w:val="auto"/>
                <w:sz w:val="24"/>
                <w:szCs w:val="24"/>
                <w:highlight w:val="none"/>
                <w:u w:val="single"/>
                <w:lang w:val="en-US" w:eastAsia="zh-CN"/>
              </w:rPr>
            </w:pPr>
            <w:r>
              <w:rPr>
                <w:rFonts w:hint="eastAsia" w:ascii="宋体" w:cs="宋体"/>
                <w:bCs/>
                <w:color w:val="auto"/>
                <w:sz w:val="24"/>
                <w:szCs w:val="24"/>
                <w:highlight w:val="none"/>
              </w:rPr>
              <w:t>地点：</w:t>
            </w:r>
            <w:r>
              <w:rPr>
                <w:rFonts w:hint="eastAsia" w:ascii="宋体" w:cs="宋体"/>
                <w:bCs/>
                <w:color w:val="auto"/>
                <w:sz w:val="24"/>
                <w:szCs w:val="24"/>
                <w:highlight w:val="none"/>
                <w:u w:val="single"/>
                <w:lang w:val="en-US" w:eastAsia="zh-CN"/>
              </w:rPr>
              <w:t xml:space="preserve">     </w:t>
            </w:r>
          </w:p>
          <w:p w14:paraId="2B66C4BE">
            <w:pPr>
              <w:rPr>
                <w:rFonts w:hint="default" w:ascii="宋体" w:eastAsia="宋体" w:cs="宋体"/>
                <w:bCs/>
                <w:color w:val="auto"/>
                <w:sz w:val="24"/>
                <w:szCs w:val="24"/>
                <w:highlight w:val="none"/>
                <w:u w:val="single"/>
                <w:lang w:val="en-US" w:eastAsia="zh-CN"/>
              </w:rPr>
            </w:pPr>
            <w:r>
              <w:rPr>
                <w:rFonts w:hint="eastAsia" w:ascii="宋体" w:cs="宋体"/>
                <w:bCs/>
                <w:color w:val="auto"/>
                <w:sz w:val="24"/>
                <w:szCs w:val="24"/>
                <w:highlight w:val="none"/>
              </w:rPr>
              <w:t>现场踏勘联系人及联系电话：</w:t>
            </w:r>
            <w:r>
              <w:rPr>
                <w:rFonts w:hint="eastAsia" w:ascii="宋体" w:cs="宋体"/>
                <w:bCs/>
                <w:color w:val="auto"/>
                <w:sz w:val="24"/>
                <w:szCs w:val="24"/>
                <w:highlight w:val="none"/>
                <w:u w:val="single"/>
              </w:rPr>
              <w:t xml:space="preserve"> </w:t>
            </w:r>
            <w:r>
              <w:rPr>
                <w:rFonts w:hint="eastAsia"/>
                <w:color w:val="auto"/>
                <w:highlight w:val="none"/>
                <w:lang w:val="en-US" w:eastAsia="zh-CN"/>
              </w:rPr>
              <w:t>刘姝鹇 15675591050</w:t>
            </w:r>
          </w:p>
          <w:p w14:paraId="507C1313">
            <w:pPr>
              <w:rPr>
                <w:rFonts w:hint="eastAsia" w:ascii="宋体" w:cs="宋体"/>
                <w:color w:val="auto"/>
                <w:sz w:val="24"/>
                <w:szCs w:val="24"/>
                <w:highlight w:val="none"/>
              </w:rPr>
            </w:pPr>
            <w:r>
              <w:rPr>
                <w:rFonts w:hint="eastAsia" w:ascii="宋体" w:cs="宋体"/>
                <w:bCs/>
                <w:color w:val="auto"/>
                <w:sz w:val="24"/>
                <w:szCs w:val="24"/>
                <w:highlight w:val="none"/>
              </w:rPr>
              <w:t>备注：</w:t>
            </w:r>
            <w:r>
              <w:rPr>
                <w:rFonts w:hint="eastAsia" w:ascii="宋体" w:hAnsi="宋体"/>
                <w:bCs/>
                <w:color w:val="auto"/>
                <w:sz w:val="24"/>
                <w:highlight w:val="none"/>
              </w:rPr>
              <w:t>潜在的供应商联系采购人自行踏</w:t>
            </w:r>
            <w:r>
              <w:rPr>
                <w:rFonts w:hint="eastAsia" w:ascii="宋体" w:hAnsi="宋体"/>
                <w:bCs w:val="0"/>
                <w:color w:val="auto"/>
                <w:sz w:val="24"/>
                <w:highlight w:val="none"/>
              </w:rPr>
              <w:t>勘</w:t>
            </w:r>
            <w:r>
              <w:rPr>
                <w:rFonts w:hint="eastAsia" w:ascii="宋体" w:hAnsi="宋体"/>
                <w:bCs/>
                <w:color w:val="auto"/>
                <w:sz w:val="24"/>
                <w:highlight w:val="none"/>
              </w:rPr>
              <w:t>，对不明事项及被服务单位设施现状情况可向采购人提出咨询</w:t>
            </w:r>
            <w:r>
              <w:rPr>
                <w:rFonts w:hint="eastAsia" w:ascii="宋体" w:hAnsi="宋体"/>
                <w:bCs/>
                <w:color w:val="auto"/>
                <w:sz w:val="24"/>
                <w:highlight w:val="none"/>
                <w:lang w:eastAsia="zh-CN"/>
              </w:rPr>
              <w:t>，</w:t>
            </w:r>
            <w:r>
              <w:rPr>
                <w:rFonts w:hint="eastAsia" w:ascii="宋体" w:hAnsi="宋体"/>
                <w:bCs/>
                <w:color w:val="auto"/>
                <w:sz w:val="24"/>
                <w:highlight w:val="none"/>
              </w:rPr>
              <w:t>以现场考察为准。</w:t>
            </w:r>
          </w:p>
        </w:tc>
      </w:tr>
      <w:tr w14:paraId="0772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1058B86E">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8.1</w:t>
            </w:r>
          </w:p>
        </w:tc>
        <w:tc>
          <w:tcPr>
            <w:tcW w:w="1723" w:type="dxa"/>
            <w:noWrap w:val="0"/>
            <w:vAlign w:val="center"/>
          </w:tcPr>
          <w:p w14:paraId="58C7F180">
            <w:pPr>
              <w:pStyle w:val="51"/>
              <w:widowControl w:val="0"/>
              <w:spacing w:before="0" w:beforeAutospacing="0" w:after="0" w:afterAutospacing="0"/>
              <w:jc w:val="left"/>
              <w:rPr>
                <w:rFonts w:hint="eastAsia" w:ascii="宋体" w:cs="宋体"/>
                <w:b w:val="0"/>
                <w:color w:val="auto"/>
                <w:sz w:val="24"/>
                <w:szCs w:val="24"/>
                <w:highlight w:val="none"/>
              </w:rPr>
            </w:pPr>
            <w:r>
              <w:rPr>
                <w:rFonts w:hint="eastAsia" w:ascii="宋体" w:cs="宋体"/>
                <w:b w:val="0"/>
                <w:color w:val="auto"/>
                <w:sz w:val="24"/>
                <w:szCs w:val="24"/>
                <w:highlight w:val="none"/>
              </w:rPr>
              <w:t>询问截止时间</w:t>
            </w:r>
          </w:p>
        </w:tc>
        <w:tc>
          <w:tcPr>
            <w:tcW w:w="6026" w:type="dxa"/>
            <w:noWrap w:val="0"/>
            <w:vAlign w:val="center"/>
          </w:tcPr>
          <w:p w14:paraId="29C5088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hAnsi="宋体" w:cs="宋体"/>
                <w:b w:val="0"/>
                <w:bCs w:val="0"/>
                <w:color w:val="auto"/>
                <w:sz w:val="24"/>
                <w:szCs w:val="24"/>
                <w:highlight w:val="none"/>
              </w:rPr>
              <w:t>询比截止时间前3日</w:t>
            </w:r>
          </w:p>
        </w:tc>
      </w:tr>
      <w:tr w14:paraId="1C82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007" w:type="dxa"/>
            <w:noWrap w:val="0"/>
            <w:vAlign w:val="center"/>
          </w:tcPr>
          <w:p w14:paraId="17736FFC">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9.1</w:t>
            </w:r>
          </w:p>
        </w:tc>
        <w:tc>
          <w:tcPr>
            <w:tcW w:w="1723" w:type="dxa"/>
            <w:noWrap w:val="0"/>
            <w:vAlign w:val="center"/>
          </w:tcPr>
          <w:p w14:paraId="181B5CB9">
            <w:pPr>
              <w:pStyle w:val="51"/>
              <w:widowControl w:val="0"/>
              <w:spacing w:before="0" w:beforeAutospacing="0" w:after="0" w:afterAutospacing="0"/>
              <w:jc w:val="left"/>
              <w:rPr>
                <w:rFonts w:hint="eastAsia" w:ascii="宋体" w:cs="宋体"/>
                <w:b w:val="0"/>
                <w:color w:val="auto"/>
                <w:sz w:val="24"/>
                <w:szCs w:val="24"/>
                <w:highlight w:val="none"/>
              </w:rPr>
            </w:pPr>
            <w:r>
              <w:rPr>
                <w:rFonts w:hint="eastAsia" w:ascii="宋体" w:cs="宋体"/>
                <w:b w:val="0"/>
                <w:color w:val="auto"/>
                <w:sz w:val="24"/>
                <w:szCs w:val="24"/>
                <w:highlight w:val="none"/>
              </w:rPr>
              <w:t>包别划分</w:t>
            </w:r>
          </w:p>
        </w:tc>
        <w:tc>
          <w:tcPr>
            <w:tcW w:w="6026" w:type="dxa"/>
            <w:noWrap w:val="0"/>
            <w:vAlign w:val="center"/>
          </w:tcPr>
          <w:p w14:paraId="63822428">
            <w:pPr>
              <w:pStyle w:val="51"/>
              <w:widowControl w:val="0"/>
              <w:spacing w:before="0" w:beforeAutospacing="0" w:after="0" w:afterAutospacing="0"/>
              <w:jc w:val="both"/>
              <w:rPr>
                <w:rFonts w:hint="eastAsia" w:ascii="宋体" w:cs="宋体"/>
                <w:b w:val="0"/>
                <w:color w:val="auto"/>
                <w:sz w:val="24"/>
                <w:szCs w:val="24"/>
                <w:highlight w:val="none"/>
              </w:rPr>
            </w:pPr>
            <w:r>
              <w:rPr>
                <w:rFonts w:ascii="宋体" w:cs="宋体"/>
                <w:b w:val="0"/>
                <w:bCs w:val="0"/>
                <w:color w:val="auto"/>
                <w:sz w:val="24"/>
                <w:szCs w:val="24"/>
                <w:highlight w:val="none"/>
              </w:rPr>
              <w:sym w:font="Wingdings" w:char="00FE"/>
            </w:r>
            <w:r>
              <w:rPr>
                <w:rFonts w:hint="eastAsia" w:ascii="宋体" w:cs="宋体"/>
                <w:b w:val="0"/>
                <w:color w:val="auto"/>
                <w:sz w:val="24"/>
                <w:szCs w:val="24"/>
                <w:highlight w:val="none"/>
              </w:rPr>
              <w:t xml:space="preserve">不分包     </w:t>
            </w:r>
            <w:r>
              <w:rPr>
                <w:rFonts w:hint="eastAsia" w:ascii="宋体" w:cs="宋体"/>
                <w:b w:val="0"/>
                <w:color w:val="auto"/>
                <w:sz w:val="24"/>
                <w:szCs w:val="24"/>
                <w:highlight w:val="none"/>
                <w:lang w:eastAsia="zh-CN"/>
              </w:rPr>
              <w:t>□</w:t>
            </w:r>
            <w:r>
              <w:rPr>
                <w:rFonts w:hint="eastAsia" w:ascii="宋体" w:cs="宋体"/>
                <w:b w:val="0"/>
                <w:color w:val="auto"/>
                <w:sz w:val="24"/>
                <w:szCs w:val="24"/>
                <w:highlight w:val="none"/>
              </w:rPr>
              <w:t>分为</w:t>
            </w:r>
            <w:r>
              <w:rPr>
                <w:rFonts w:hint="eastAsia" w:ascii="宋体" w:cs="宋体"/>
                <w:b w:val="0"/>
                <w:color w:val="auto"/>
                <w:sz w:val="24"/>
                <w:szCs w:val="24"/>
                <w:highlight w:val="none"/>
                <w:u w:val="single"/>
                <w:lang w:val="en-US" w:eastAsia="zh-CN"/>
              </w:rPr>
              <w:t xml:space="preserve"> </w:t>
            </w:r>
            <w:r>
              <w:rPr>
                <w:rFonts w:hint="eastAsia" w:ascii="宋体" w:cs="宋体"/>
                <w:b w:val="0"/>
                <w:color w:val="auto"/>
                <w:sz w:val="24"/>
                <w:szCs w:val="24"/>
                <w:highlight w:val="none"/>
              </w:rPr>
              <w:t>个包</w:t>
            </w:r>
          </w:p>
          <w:p w14:paraId="6D99A6E1">
            <w:pPr>
              <w:pStyle w:val="51"/>
              <w:widowControl w:val="0"/>
              <w:spacing w:before="0" w:beforeAutospacing="0" w:after="0" w:afterAutospacing="0"/>
              <w:jc w:val="both"/>
              <w:rPr>
                <w:rFonts w:hint="eastAsia" w:ascii="宋体" w:eastAsia="宋体" w:cs="宋体"/>
                <w:b w:val="0"/>
                <w:bCs w:val="0"/>
                <w:color w:val="auto"/>
                <w:sz w:val="24"/>
                <w:szCs w:val="24"/>
                <w:highlight w:val="none"/>
                <w:lang w:val="en-US" w:eastAsia="zh-CN"/>
              </w:rPr>
            </w:pPr>
            <w:r>
              <w:rPr>
                <w:rFonts w:hint="eastAsia" w:ascii="宋体" w:cs="宋体"/>
                <w:b w:val="0"/>
                <w:bCs w:val="0"/>
                <w:color w:val="auto"/>
                <w:sz w:val="24"/>
                <w:szCs w:val="24"/>
                <w:highlight w:val="none"/>
              </w:rPr>
              <w:t>供应商参加多个包询比的成交包数规定：</w:t>
            </w:r>
            <w:r>
              <w:rPr>
                <w:rFonts w:hint="eastAsia" w:ascii="宋体" w:cs="宋体"/>
                <w:b w:val="0"/>
                <w:bCs w:val="0"/>
                <w:color w:val="auto"/>
                <w:sz w:val="24"/>
                <w:szCs w:val="24"/>
                <w:highlight w:val="none"/>
                <w:lang w:val="en-US" w:eastAsia="zh-CN"/>
              </w:rPr>
              <w:t>/</w:t>
            </w:r>
          </w:p>
        </w:tc>
      </w:tr>
      <w:tr w14:paraId="52A2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007" w:type="dxa"/>
            <w:noWrap w:val="0"/>
            <w:vAlign w:val="center"/>
          </w:tcPr>
          <w:p w14:paraId="319A5341">
            <w:pPr>
              <w:pStyle w:val="53"/>
              <w:pBdr>
                <w:bottom w:val="none" w:color="auto" w:sz="0" w:space="0"/>
              </w:pBdr>
              <w:tabs>
                <w:tab w:val="clear" w:pos="4153"/>
                <w:tab w:val="clear" w:pos="8306"/>
              </w:tabs>
              <w:adjustRightInd/>
              <w:spacing w:line="240" w:lineRule="auto"/>
              <w:textAlignment w:val="auto"/>
              <w:rPr>
                <w:rFonts w:hint="default" w:ascii="宋体" w:eastAsia="宋体" w:cs="宋体"/>
                <w:bCs/>
                <w:color w:val="auto"/>
                <w:szCs w:val="24"/>
                <w:highlight w:val="none"/>
                <w:lang w:val="en-US" w:eastAsia="zh-CN"/>
              </w:rPr>
            </w:pPr>
            <w:r>
              <w:rPr>
                <w:rFonts w:hint="eastAsia" w:ascii="宋体" w:hAnsi="Times New Roman" w:eastAsia="宋体" w:cs="Times New Roman"/>
                <w:color w:val="auto"/>
                <w:sz w:val="24"/>
                <w:highlight w:val="none"/>
                <w:lang w:val="en-US" w:eastAsia="zh-CN"/>
              </w:rPr>
              <w:t>12.6</w:t>
            </w:r>
          </w:p>
        </w:tc>
        <w:tc>
          <w:tcPr>
            <w:tcW w:w="1723" w:type="dxa"/>
            <w:noWrap w:val="0"/>
            <w:vAlign w:val="center"/>
          </w:tcPr>
          <w:p w14:paraId="2454CE89">
            <w:pPr>
              <w:snapToGrid w:val="0"/>
              <w:spacing w:line="360" w:lineRule="auto"/>
              <w:jc w:val="center"/>
              <w:rPr>
                <w:rFonts w:hint="default" w:ascii="宋体" w:cs="宋体"/>
                <w:b w:val="0"/>
                <w:color w:val="auto"/>
                <w:sz w:val="24"/>
                <w:szCs w:val="24"/>
                <w:highlight w:val="none"/>
                <w:lang w:val="en-US" w:eastAsia="zh-CN"/>
              </w:rPr>
            </w:pPr>
            <w:r>
              <w:rPr>
                <w:rFonts w:hint="eastAsia" w:ascii="宋体" w:hAnsi="宋体" w:eastAsia="宋体" w:cs="Times New Roman"/>
                <w:b w:val="0"/>
                <w:bCs w:val="0"/>
                <w:color w:val="auto"/>
                <w:kern w:val="0"/>
                <w:sz w:val="24"/>
                <w:szCs w:val="28"/>
                <w:highlight w:val="none"/>
                <w:lang w:val="en-US" w:eastAsia="zh-CN" w:bidi="ar-SA"/>
              </w:rPr>
              <w:t>增值税税金相关要求</w:t>
            </w:r>
          </w:p>
        </w:tc>
        <w:tc>
          <w:tcPr>
            <w:tcW w:w="6026" w:type="dxa"/>
            <w:noWrap w:val="0"/>
            <w:vAlign w:val="center"/>
          </w:tcPr>
          <w:p w14:paraId="6BC498F0">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t>（1）计税方法：</w:t>
            </w:r>
          </w:p>
          <w:p w14:paraId="287BC0CC">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sym w:font="Wingdings 2" w:char="0052"/>
            </w:r>
            <w:r>
              <w:rPr>
                <w:rFonts w:hint="eastAsia" w:ascii="宋体" w:hAnsi="宋体" w:eastAsia="宋体" w:cs="Times New Roman"/>
                <w:b w:val="0"/>
                <w:bCs w:val="0"/>
                <w:color w:val="auto"/>
                <w:kern w:val="0"/>
                <w:sz w:val="24"/>
                <w:szCs w:val="28"/>
                <w:highlight w:val="none"/>
                <w:lang w:val="en-US" w:eastAsia="zh-CN" w:bidi="ar-SA"/>
              </w:rPr>
              <w:t>一般计税方法</w:t>
            </w:r>
          </w:p>
          <w:p w14:paraId="76428472">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t>□简易计算方法</w:t>
            </w:r>
          </w:p>
          <w:p w14:paraId="1D3B3127">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t>（2）发票类型：</w:t>
            </w:r>
          </w:p>
          <w:p w14:paraId="65248D0F">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sym w:font="Wingdings 2" w:char="0052"/>
            </w:r>
            <w:r>
              <w:rPr>
                <w:rFonts w:hint="eastAsia" w:ascii="宋体" w:hAnsi="宋体" w:cs="Times New Roman"/>
                <w:b w:val="0"/>
                <w:bCs w:val="0"/>
                <w:color w:val="auto"/>
                <w:kern w:val="0"/>
                <w:sz w:val="24"/>
                <w:szCs w:val="28"/>
                <w:highlight w:val="none"/>
                <w:lang w:val="en-US" w:eastAsia="zh-CN" w:bidi="ar-SA"/>
              </w:rPr>
              <w:t>6%</w:t>
            </w:r>
            <w:r>
              <w:rPr>
                <w:rFonts w:hint="eastAsia" w:ascii="宋体" w:hAnsi="宋体" w:eastAsia="宋体" w:cs="Times New Roman"/>
                <w:b w:val="0"/>
                <w:bCs w:val="0"/>
                <w:color w:val="auto"/>
                <w:kern w:val="0"/>
                <w:sz w:val="24"/>
                <w:szCs w:val="28"/>
                <w:highlight w:val="none"/>
                <w:lang w:val="en-US" w:eastAsia="zh-CN" w:bidi="ar-SA"/>
              </w:rPr>
              <w:t>增值税专用发票</w:t>
            </w:r>
          </w:p>
          <w:p w14:paraId="20E43443">
            <w:pPr>
              <w:snapToGrid w:val="0"/>
              <w:spacing w:line="360" w:lineRule="auto"/>
              <w:rPr>
                <w:rFonts w:hint="eastAsia" w:ascii="宋体" w:hAnsi="宋体" w:eastAsia="宋体" w:cs="Times New Roman"/>
                <w:b w:val="0"/>
                <w:bCs w:val="0"/>
                <w:color w:val="auto"/>
                <w:kern w:val="0"/>
                <w:sz w:val="24"/>
                <w:szCs w:val="28"/>
                <w:highlight w:val="none"/>
                <w:lang w:val="en-US" w:eastAsia="zh-CN" w:bidi="ar-SA"/>
              </w:rPr>
            </w:pPr>
            <w:r>
              <w:rPr>
                <w:rFonts w:hint="eastAsia" w:ascii="宋体" w:hAnsi="宋体" w:eastAsia="宋体" w:cs="Times New Roman"/>
                <w:b w:val="0"/>
                <w:bCs w:val="0"/>
                <w:color w:val="auto"/>
                <w:kern w:val="0"/>
                <w:sz w:val="24"/>
                <w:szCs w:val="28"/>
                <w:highlight w:val="none"/>
                <w:lang w:val="en-US" w:eastAsia="zh-CN" w:bidi="ar-SA"/>
              </w:rPr>
              <w:t>□增值税普通发票</w:t>
            </w:r>
          </w:p>
          <w:p w14:paraId="64788DBE">
            <w:pPr>
              <w:snapToGrid w:val="0"/>
              <w:spacing w:line="360" w:lineRule="auto"/>
              <w:rPr>
                <w:rFonts w:hint="eastAsia" w:ascii="宋体" w:hAnsi="宋体" w:cs="宋体"/>
                <w:b w:val="0"/>
                <w:color w:val="auto"/>
                <w:sz w:val="24"/>
                <w:szCs w:val="24"/>
                <w:highlight w:val="none"/>
                <w:lang w:eastAsia="zh-CN"/>
              </w:rPr>
            </w:pPr>
            <w:r>
              <w:rPr>
                <w:rFonts w:hint="eastAsia" w:ascii="宋体" w:hAnsi="宋体" w:eastAsia="宋体" w:cs="Times New Roman"/>
                <w:b w:val="0"/>
                <w:bCs w:val="0"/>
                <w:color w:val="auto"/>
                <w:kern w:val="0"/>
                <w:sz w:val="24"/>
                <w:szCs w:val="28"/>
                <w:highlight w:val="none"/>
                <w:lang w:val="en-US" w:eastAsia="zh-CN" w:bidi="ar-SA"/>
              </w:rPr>
              <w:t>（3）增值税税率按照国家有关规定执行。</w:t>
            </w:r>
          </w:p>
        </w:tc>
      </w:tr>
      <w:tr w14:paraId="4A79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007" w:type="dxa"/>
            <w:noWrap w:val="0"/>
            <w:vAlign w:val="center"/>
          </w:tcPr>
          <w:p w14:paraId="2CECAACA">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13.1</w:t>
            </w:r>
          </w:p>
        </w:tc>
        <w:tc>
          <w:tcPr>
            <w:tcW w:w="1723" w:type="dxa"/>
            <w:noWrap w:val="0"/>
            <w:vAlign w:val="center"/>
          </w:tcPr>
          <w:p w14:paraId="7049D75B">
            <w:pPr>
              <w:pStyle w:val="51"/>
              <w:widowControl w:val="0"/>
              <w:spacing w:before="0" w:beforeAutospacing="0" w:after="0" w:afterAutospacing="0"/>
              <w:jc w:val="left"/>
              <w:rPr>
                <w:rFonts w:hint="eastAsia" w:ascii="宋体" w:cs="宋体"/>
                <w:b w:val="0"/>
                <w:color w:val="auto"/>
                <w:sz w:val="24"/>
                <w:szCs w:val="24"/>
                <w:highlight w:val="none"/>
              </w:rPr>
            </w:pPr>
            <w:r>
              <w:rPr>
                <w:rFonts w:hint="eastAsia" w:ascii="宋体" w:cs="宋体"/>
                <w:b w:val="0"/>
                <w:color w:val="auto"/>
                <w:sz w:val="24"/>
                <w:szCs w:val="24"/>
                <w:highlight w:val="none"/>
                <w:lang w:val="en-US" w:eastAsia="zh-CN"/>
              </w:rPr>
              <w:t>询比保证金</w:t>
            </w:r>
          </w:p>
        </w:tc>
        <w:tc>
          <w:tcPr>
            <w:tcW w:w="6026" w:type="dxa"/>
            <w:noWrap w:val="0"/>
            <w:vAlign w:val="center"/>
          </w:tcPr>
          <w:p w14:paraId="78F6941E">
            <w:pPr>
              <w:pStyle w:val="51"/>
              <w:widowControl w:val="0"/>
              <w:numPr>
                <w:ilvl w:val="0"/>
                <w:numId w:val="0"/>
              </w:numPr>
              <w:spacing w:before="0" w:beforeAutospacing="0" w:after="0" w:afterAutospacing="0" w:line="360" w:lineRule="auto"/>
              <w:jc w:val="both"/>
              <w:rPr>
                <w:rFonts w:hint="eastAsia" w:ascii="宋体" w:cs="宋体"/>
                <w:color w:val="auto"/>
                <w:sz w:val="24"/>
                <w:szCs w:val="24"/>
                <w:highlight w:val="none"/>
              </w:rPr>
            </w:pPr>
            <w:r>
              <w:rPr>
                <w:rFonts w:hint="eastAsia" w:ascii="宋体" w:hAnsi="宋体" w:cs="宋体"/>
                <w:b w:val="0"/>
                <w:color w:val="auto"/>
                <w:sz w:val="24"/>
                <w:szCs w:val="24"/>
                <w:highlight w:val="none"/>
                <w:lang w:eastAsia="zh-CN"/>
              </w:rPr>
              <w:t>☑</w:t>
            </w:r>
            <w:r>
              <w:rPr>
                <w:rFonts w:hint="eastAsia" w:ascii="宋体" w:hAnsi="宋体" w:cs="宋体"/>
                <w:b w:val="0"/>
                <w:color w:val="auto"/>
                <w:sz w:val="24"/>
                <w:szCs w:val="24"/>
                <w:highlight w:val="none"/>
              </w:rPr>
              <w:t>不收取</w:t>
            </w:r>
          </w:p>
        </w:tc>
      </w:tr>
      <w:tr w14:paraId="3503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007" w:type="dxa"/>
            <w:noWrap w:val="0"/>
            <w:vAlign w:val="center"/>
          </w:tcPr>
          <w:p w14:paraId="31789B79">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13.7</w:t>
            </w:r>
          </w:p>
        </w:tc>
        <w:tc>
          <w:tcPr>
            <w:tcW w:w="1723" w:type="dxa"/>
            <w:noWrap w:val="0"/>
            <w:vAlign w:val="center"/>
          </w:tcPr>
          <w:p w14:paraId="585D121B">
            <w:pPr>
              <w:pStyle w:val="51"/>
              <w:widowControl w:val="0"/>
              <w:spacing w:before="0" w:beforeAutospacing="0" w:after="0" w:afterAutospacing="0"/>
              <w:jc w:val="left"/>
              <w:rPr>
                <w:rFonts w:hint="eastAsia" w:ascii="宋体" w:cs="宋体"/>
                <w:b w:val="0"/>
                <w:color w:val="auto"/>
                <w:sz w:val="24"/>
                <w:szCs w:val="24"/>
                <w:highlight w:val="none"/>
              </w:rPr>
            </w:pPr>
            <w:r>
              <w:rPr>
                <w:rFonts w:hint="eastAsia" w:ascii="宋体" w:cs="宋体"/>
                <w:b w:val="0"/>
                <w:color w:val="auto"/>
                <w:sz w:val="24"/>
                <w:szCs w:val="24"/>
                <w:highlight w:val="none"/>
              </w:rPr>
              <w:t>其他不予退还</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的情形</w:t>
            </w:r>
          </w:p>
        </w:tc>
        <w:tc>
          <w:tcPr>
            <w:tcW w:w="6026" w:type="dxa"/>
            <w:noWrap w:val="0"/>
            <w:vAlign w:val="center"/>
          </w:tcPr>
          <w:p w14:paraId="59624853">
            <w:pPr>
              <w:pStyle w:val="51"/>
              <w:widowControl w:val="0"/>
              <w:spacing w:before="0" w:beforeAutospacing="0" w:after="0" w:afterAutospacing="0"/>
              <w:jc w:val="both"/>
              <w:rPr>
                <w:rFonts w:hint="eastAsia" w:ascii="宋体" w:cs="宋体"/>
                <w:b w:val="0"/>
                <w:bCs w:val="0"/>
                <w:color w:val="auto"/>
                <w:sz w:val="24"/>
                <w:szCs w:val="24"/>
                <w:highlight w:val="none"/>
              </w:rPr>
            </w:pPr>
            <w:r>
              <w:rPr>
                <w:rFonts w:hint="eastAsia" w:ascii="宋体" w:hAnsi="宋体" w:cs="宋体"/>
                <w:b w:val="0"/>
                <w:color w:val="auto"/>
                <w:sz w:val="24"/>
                <w:szCs w:val="24"/>
                <w:highlight w:val="none"/>
              </w:rPr>
              <w:t>除因不可抗力或</w:t>
            </w:r>
            <w:r>
              <w:rPr>
                <w:rFonts w:hint="eastAsia" w:ascii="宋体" w:cs="宋体"/>
                <w:b w:val="0"/>
                <w:color w:val="auto"/>
                <w:sz w:val="24"/>
                <w:szCs w:val="24"/>
                <w:highlight w:val="none"/>
              </w:rPr>
              <w:t>询比</w:t>
            </w:r>
            <w:r>
              <w:rPr>
                <w:rFonts w:hint="eastAsia" w:ascii="宋体" w:hAnsi="宋体" w:cs="宋体"/>
                <w:b w:val="0"/>
                <w:color w:val="auto"/>
                <w:sz w:val="24"/>
                <w:szCs w:val="24"/>
                <w:highlight w:val="none"/>
              </w:rPr>
              <w:t>文件认可的情形以外，</w:t>
            </w:r>
            <w:r>
              <w:rPr>
                <w:rFonts w:hint="eastAsia" w:ascii="宋体" w:hAnsi="宋体" w:cs="宋体"/>
                <w:b w:val="0"/>
                <w:color w:val="auto"/>
                <w:sz w:val="24"/>
                <w:szCs w:val="24"/>
                <w:highlight w:val="none"/>
                <w:lang w:eastAsia="zh-CN"/>
              </w:rPr>
              <w:t>成交供应商</w:t>
            </w:r>
            <w:r>
              <w:rPr>
                <w:rFonts w:hint="eastAsia" w:ascii="宋体" w:hAnsi="宋体" w:cs="宋体"/>
                <w:b w:val="0"/>
                <w:color w:val="auto"/>
                <w:sz w:val="24"/>
                <w:szCs w:val="24"/>
                <w:highlight w:val="none"/>
              </w:rPr>
              <w:t>放弃成交资格的</w:t>
            </w:r>
          </w:p>
        </w:tc>
      </w:tr>
      <w:tr w14:paraId="2382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692BA163">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14.1</w:t>
            </w:r>
          </w:p>
        </w:tc>
        <w:tc>
          <w:tcPr>
            <w:tcW w:w="1723" w:type="dxa"/>
            <w:noWrap w:val="0"/>
            <w:vAlign w:val="center"/>
          </w:tcPr>
          <w:p w14:paraId="34D6EBA7">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询比有效期</w:t>
            </w:r>
          </w:p>
        </w:tc>
        <w:tc>
          <w:tcPr>
            <w:tcW w:w="6026" w:type="dxa"/>
            <w:noWrap w:val="0"/>
            <w:vAlign w:val="center"/>
          </w:tcPr>
          <w:p w14:paraId="361A48D2">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90日历天</w:t>
            </w:r>
          </w:p>
        </w:tc>
      </w:tr>
      <w:tr w14:paraId="31B1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4AB0F013">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15.1</w:t>
            </w:r>
          </w:p>
        </w:tc>
        <w:tc>
          <w:tcPr>
            <w:tcW w:w="1723" w:type="dxa"/>
            <w:noWrap w:val="0"/>
            <w:vAlign w:val="center"/>
          </w:tcPr>
          <w:p w14:paraId="61C7A941">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bCs w:val="0"/>
                <w:color w:val="auto"/>
                <w:sz w:val="24"/>
                <w:szCs w:val="24"/>
                <w:highlight w:val="none"/>
              </w:rPr>
              <w:t>响应文件要求</w:t>
            </w:r>
          </w:p>
        </w:tc>
        <w:tc>
          <w:tcPr>
            <w:tcW w:w="6026" w:type="dxa"/>
            <w:noWrap w:val="0"/>
            <w:vAlign w:val="center"/>
          </w:tcPr>
          <w:p w14:paraId="74D971C0">
            <w:pPr>
              <w:spacing w:line="360" w:lineRule="auto"/>
              <w:rPr>
                <w:rFonts w:hint="eastAsia" w:ascii="宋体" w:cs="宋体"/>
                <w:b/>
                <w:color w:val="auto"/>
                <w:sz w:val="24"/>
                <w:szCs w:val="24"/>
                <w:highlight w:val="none"/>
                <w:lang w:val="zh-CN"/>
              </w:rPr>
            </w:pPr>
            <w:r>
              <w:rPr>
                <w:rFonts w:hint="eastAsia" w:ascii="宋体" w:cs="宋体"/>
                <w:b/>
                <w:color w:val="auto"/>
                <w:sz w:val="24"/>
                <w:szCs w:val="24"/>
                <w:highlight w:val="none"/>
                <w:lang w:val="zh-CN"/>
              </w:rPr>
              <w:t>1.加密的电子响应文件：</w:t>
            </w:r>
          </w:p>
          <w:p w14:paraId="1EE803EC">
            <w:pPr>
              <w:spacing w:line="360" w:lineRule="auto"/>
              <w:rPr>
                <w:rFonts w:hint="eastAsia" w:ascii="宋体" w:cs="宋体"/>
                <w:b/>
                <w:color w:val="auto"/>
                <w:sz w:val="24"/>
                <w:szCs w:val="24"/>
                <w:highlight w:val="none"/>
                <w:lang w:val="zh-CN"/>
              </w:rPr>
            </w:pPr>
            <w:r>
              <w:rPr>
                <w:rFonts w:hint="eastAsia" w:ascii="宋体" w:cs="宋体"/>
                <w:b/>
                <w:color w:val="auto"/>
                <w:sz w:val="24"/>
                <w:szCs w:val="24"/>
                <w:highlight w:val="none"/>
                <w:lang w:val="zh-CN"/>
              </w:rPr>
              <w:t>使用电子交易系统“响应文件制作工具”制作生成的加密电子响应文件(新点安徽广电版格式)，应在响应文件提交截止时间前通过电子交易系统上传。</w:t>
            </w:r>
          </w:p>
          <w:p w14:paraId="69FA7A7C">
            <w:pPr>
              <w:spacing w:line="360" w:lineRule="auto"/>
              <w:rPr>
                <w:rFonts w:hint="eastAsia" w:ascii="宋体" w:cs="宋体"/>
                <w:b w:val="0"/>
                <w:bCs/>
                <w:color w:val="auto"/>
                <w:sz w:val="24"/>
                <w:szCs w:val="24"/>
                <w:highlight w:val="none"/>
                <w:lang w:val="zh-CN"/>
              </w:rPr>
            </w:pPr>
            <w:r>
              <w:rPr>
                <w:rFonts w:hint="eastAsia" w:ascii="宋体" w:cs="宋体"/>
                <w:b w:val="0"/>
                <w:bCs/>
                <w:color w:val="auto"/>
                <w:sz w:val="24"/>
                <w:szCs w:val="24"/>
                <w:highlight w:val="none"/>
                <w:lang w:val="zh-CN"/>
              </w:rPr>
              <w:t>2.未加密的电子响应文件（建议提交）：</w:t>
            </w:r>
          </w:p>
          <w:p w14:paraId="7818DBCF">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cs="宋体"/>
                <w:b w:val="0"/>
                <w:bCs/>
                <w:color w:val="auto"/>
                <w:sz w:val="24"/>
                <w:szCs w:val="24"/>
                <w:highlight w:val="none"/>
                <w:lang w:val="zh-CN"/>
              </w:rPr>
            </w:pPr>
            <w:r>
              <w:rPr>
                <w:rFonts w:hint="eastAsia" w:ascii="宋体" w:cs="宋体"/>
                <w:b w:val="0"/>
                <w:bCs/>
                <w:color w:val="auto"/>
                <w:sz w:val="24"/>
                <w:szCs w:val="24"/>
                <w:highlight w:val="none"/>
                <w:lang w:val="zh-CN"/>
              </w:rPr>
              <w:t>生成加密电子响应文件时同时生成未加密的电子响应文件。未加密电子响应文件是否提交由供应商自行决定。如提交，可通过压缩包设置密码的形式在响应文件提交截止时间前发送至项目联系人邮箱：</w:t>
            </w:r>
            <w:r>
              <w:rPr>
                <w:rFonts w:hint="eastAsia" w:ascii="宋体" w:cs="宋体"/>
                <w:b w:val="0"/>
                <w:bCs/>
                <w:color w:val="auto"/>
                <w:sz w:val="24"/>
                <w:szCs w:val="24"/>
                <w:highlight w:val="none"/>
              </w:rPr>
              <w:fldChar w:fldCharType="begin"/>
            </w:r>
            <w:r>
              <w:rPr>
                <w:rFonts w:hint="eastAsia" w:ascii="宋体" w:cs="宋体"/>
                <w:b w:val="0"/>
                <w:bCs/>
                <w:color w:val="auto"/>
                <w:sz w:val="24"/>
                <w:szCs w:val="24"/>
                <w:highlight w:val="none"/>
              </w:rPr>
              <w:instrText xml:space="preserve"> HYPERLINK "mailto:3020019615@qq.com" </w:instrText>
            </w:r>
            <w:r>
              <w:rPr>
                <w:rFonts w:hint="eastAsia" w:ascii="宋体" w:cs="宋体"/>
                <w:b w:val="0"/>
                <w:bCs/>
                <w:color w:val="auto"/>
                <w:sz w:val="24"/>
                <w:szCs w:val="24"/>
                <w:highlight w:val="none"/>
              </w:rPr>
              <w:fldChar w:fldCharType="separate"/>
            </w:r>
            <w:r>
              <w:rPr>
                <w:rFonts w:hint="eastAsia" w:ascii="宋体" w:cs="宋体"/>
                <w:b w:val="0"/>
                <w:bCs/>
                <w:color w:val="auto"/>
                <w:sz w:val="24"/>
                <w:szCs w:val="24"/>
                <w:highlight w:val="none"/>
                <w:lang w:val="en-US" w:eastAsia="zh-CN"/>
              </w:rPr>
              <w:t>1347063534</w:t>
            </w:r>
            <w:r>
              <w:rPr>
                <w:rFonts w:hint="eastAsia" w:ascii="宋体" w:cs="宋体"/>
                <w:b w:val="0"/>
                <w:bCs/>
                <w:color w:val="auto"/>
                <w:sz w:val="24"/>
                <w:szCs w:val="24"/>
                <w:highlight w:val="none"/>
                <w:lang w:val="zh-CN"/>
              </w:rPr>
              <w:t>@qq.com</w:t>
            </w:r>
            <w:r>
              <w:rPr>
                <w:rFonts w:hint="eastAsia" w:ascii="宋体" w:cs="宋体"/>
                <w:b w:val="0"/>
                <w:bCs/>
                <w:color w:val="auto"/>
                <w:sz w:val="24"/>
                <w:szCs w:val="24"/>
                <w:highlight w:val="none"/>
                <w:lang w:val="zh-CN"/>
              </w:rPr>
              <w:fldChar w:fldCharType="end"/>
            </w:r>
            <w:r>
              <w:rPr>
                <w:rFonts w:hint="eastAsia" w:ascii="宋体" w:cs="宋体"/>
                <w:b w:val="0"/>
                <w:bCs/>
                <w:color w:val="auto"/>
                <w:sz w:val="24"/>
                <w:szCs w:val="24"/>
                <w:highlight w:val="none"/>
                <w:lang w:val="zh-CN"/>
              </w:rPr>
              <w:t xml:space="preserve">。若因解密不成功确需使用到该未加密电子响应文件，项目负责人将主动联系供应商获取“加密压缩包”的密码，解密压缩包后导入未加密电子响应文件继续开启。 </w:t>
            </w:r>
          </w:p>
          <w:p w14:paraId="1B9420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cs="宋体"/>
                <w:b w:val="0"/>
                <w:bCs/>
                <w:color w:val="auto"/>
                <w:sz w:val="24"/>
                <w:szCs w:val="24"/>
                <w:highlight w:val="none"/>
                <w:lang w:val="zh-CN"/>
              </w:rPr>
            </w:pPr>
            <w:r>
              <w:rPr>
                <w:rFonts w:hint="eastAsia" w:ascii="宋体" w:cs="宋体"/>
                <w:b w:val="0"/>
                <w:bCs/>
                <w:color w:val="auto"/>
                <w:sz w:val="24"/>
                <w:szCs w:val="24"/>
                <w:highlight w:val="none"/>
                <w:lang w:val="zh-CN"/>
              </w:rPr>
              <w:t>3.纸质响应文件（加盖单位印章）：</w:t>
            </w:r>
          </w:p>
          <w:p w14:paraId="34A61EC3">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cs="宋体"/>
                <w:b/>
                <w:color w:val="auto"/>
                <w:sz w:val="24"/>
                <w:szCs w:val="24"/>
                <w:highlight w:val="none"/>
              </w:rPr>
            </w:pPr>
            <w:r>
              <w:rPr>
                <w:rFonts w:hint="eastAsia" w:ascii="宋体" w:cs="宋体"/>
                <w:b w:val="0"/>
                <w:bCs/>
                <w:color w:val="auto"/>
                <w:sz w:val="24"/>
                <w:szCs w:val="24"/>
                <w:highlight w:val="none"/>
                <w:lang w:val="zh-CN"/>
              </w:rPr>
              <w:t>成交供应商在领取中标（成交）通知书时，按采购人要求提交纸质响应文件。纸质响应文件为加密电子响应文件的打印版。</w:t>
            </w:r>
          </w:p>
        </w:tc>
      </w:tr>
      <w:tr w14:paraId="1C74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34CC4CD4">
            <w:pPr>
              <w:pStyle w:val="53"/>
              <w:pBdr>
                <w:bottom w:val="none" w:color="auto" w:sz="0" w:space="0"/>
              </w:pBdr>
              <w:tabs>
                <w:tab w:val="clear" w:pos="4153"/>
                <w:tab w:val="clear" w:pos="8306"/>
              </w:tabs>
              <w:adjustRightInd/>
              <w:spacing w:line="240" w:lineRule="auto"/>
              <w:textAlignment w:val="auto"/>
              <w:rPr>
                <w:rFonts w:hint="default" w:ascii="宋体" w:eastAsia="宋体" w:cs="宋体"/>
                <w:bCs/>
                <w:color w:val="auto"/>
                <w:szCs w:val="24"/>
                <w:highlight w:val="none"/>
                <w:lang w:val="en-US" w:eastAsia="zh-CN"/>
              </w:rPr>
            </w:pPr>
            <w:r>
              <w:rPr>
                <w:rFonts w:hint="eastAsia" w:ascii="宋体" w:cs="宋体"/>
                <w:bCs/>
                <w:color w:val="auto"/>
                <w:szCs w:val="24"/>
                <w:highlight w:val="none"/>
                <w:lang w:val="en-US" w:eastAsia="zh-CN"/>
              </w:rPr>
              <w:t>15.2</w:t>
            </w:r>
          </w:p>
        </w:tc>
        <w:tc>
          <w:tcPr>
            <w:tcW w:w="1723" w:type="dxa"/>
            <w:noWrap w:val="0"/>
            <w:vAlign w:val="center"/>
          </w:tcPr>
          <w:p w14:paraId="33A50F83">
            <w:pPr>
              <w:pStyle w:val="51"/>
              <w:widowControl w:val="0"/>
              <w:spacing w:before="0" w:beforeAutospacing="0" w:after="0" w:afterAutospacing="0"/>
              <w:jc w:val="both"/>
              <w:rPr>
                <w:rFonts w:hint="eastAsia" w:ascii="宋体" w:cs="宋体"/>
                <w:b w:val="0"/>
                <w:color w:val="auto"/>
                <w:sz w:val="24"/>
                <w:szCs w:val="24"/>
                <w:highlight w:val="none"/>
              </w:rPr>
            </w:pPr>
            <w:r>
              <w:rPr>
                <w:rFonts w:hint="eastAsia"/>
                <w:color w:val="auto"/>
                <w:sz w:val="24"/>
                <w:szCs w:val="24"/>
                <w:highlight w:val="none"/>
              </w:rPr>
              <w:t>是否采用电子标</w:t>
            </w:r>
          </w:p>
        </w:tc>
        <w:tc>
          <w:tcPr>
            <w:tcW w:w="6026" w:type="dxa"/>
            <w:noWrap w:val="0"/>
            <w:vAlign w:val="center"/>
          </w:tcPr>
          <w:p w14:paraId="4896E8FA">
            <w:pPr>
              <w:spacing w:line="360" w:lineRule="auto"/>
              <w:rPr>
                <w:rFonts w:hint="eastAsia" w:ascii="宋体" w:cs="宋体"/>
                <w:b/>
                <w:color w:val="auto"/>
                <w:sz w:val="24"/>
                <w:szCs w:val="24"/>
                <w:highlight w:val="none"/>
                <w:lang w:val="en-US" w:eastAsia="zh-CN"/>
              </w:rPr>
            </w:pPr>
            <w:r>
              <w:rPr>
                <w:rFonts w:hint="eastAsia"/>
                <w:b/>
                <w:color w:val="auto"/>
                <w:sz w:val="24"/>
                <w:szCs w:val="24"/>
                <w:highlight w:val="none"/>
              </w:rPr>
              <w:t>本项目为全流程电子标</w:t>
            </w:r>
          </w:p>
        </w:tc>
      </w:tr>
      <w:tr w14:paraId="7CA9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204B6C8B">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15.3</w:t>
            </w:r>
          </w:p>
        </w:tc>
        <w:tc>
          <w:tcPr>
            <w:tcW w:w="1723" w:type="dxa"/>
            <w:noWrap w:val="0"/>
            <w:vAlign w:val="center"/>
          </w:tcPr>
          <w:p w14:paraId="5275AD31">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hAnsi="宋体" w:cs="宋体"/>
                <w:bCs w:val="0"/>
                <w:color w:val="auto"/>
                <w:sz w:val="24"/>
                <w:szCs w:val="24"/>
                <w:highlight w:val="none"/>
              </w:rPr>
              <w:t>响应文件解密时间</w:t>
            </w:r>
          </w:p>
        </w:tc>
        <w:tc>
          <w:tcPr>
            <w:tcW w:w="6026" w:type="dxa"/>
            <w:noWrap w:val="0"/>
            <w:vAlign w:val="center"/>
          </w:tcPr>
          <w:p w14:paraId="6ECF1190">
            <w:pPr>
              <w:pStyle w:val="51"/>
              <w:widowControl w:val="0"/>
              <w:spacing w:before="0" w:beforeAutospacing="0" w:after="0" w:afterAutospacing="0"/>
              <w:jc w:val="both"/>
              <w:rPr>
                <w:rFonts w:hint="eastAsia" w:ascii="宋体" w:cs="宋体"/>
                <w:b w:val="0"/>
                <w:color w:val="auto"/>
                <w:sz w:val="24"/>
                <w:szCs w:val="24"/>
                <w:highlight w:val="none"/>
                <w:u w:val="single"/>
              </w:rPr>
            </w:pPr>
            <w:r>
              <w:rPr>
                <w:rFonts w:hint="eastAsia"/>
                <w:color w:val="auto"/>
                <w:sz w:val="24"/>
                <w:szCs w:val="24"/>
                <w:highlight w:val="none"/>
              </w:rPr>
              <w:t>30分钟（以电子交易系统解密倒计时为准）</w:t>
            </w:r>
          </w:p>
        </w:tc>
      </w:tr>
      <w:tr w14:paraId="7A44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783978BA">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16.1</w:t>
            </w:r>
          </w:p>
        </w:tc>
        <w:tc>
          <w:tcPr>
            <w:tcW w:w="1723" w:type="dxa"/>
            <w:noWrap w:val="0"/>
            <w:vAlign w:val="center"/>
          </w:tcPr>
          <w:p w14:paraId="167A0D8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响应文件提交截止时间</w:t>
            </w:r>
          </w:p>
        </w:tc>
        <w:tc>
          <w:tcPr>
            <w:tcW w:w="6026" w:type="dxa"/>
            <w:noWrap w:val="0"/>
            <w:vAlign w:val="center"/>
          </w:tcPr>
          <w:p w14:paraId="1BDEDDBF">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u w:val="single"/>
              </w:rPr>
              <w:t>详见询比邀请</w:t>
            </w:r>
          </w:p>
        </w:tc>
      </w:tr>
      <w:tr w14:paraId="1F4E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restart"/>
            <w:noWrap w:val="0"/>
            <w:vAlign w:val="center"/>
          </w:tcPr>
          <w:p w14:paraId="03BD5526">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19.1</w:t>
            </w:r>
          </w:p>
        </w:tc>
        <w:tc>
          <w:tcPr>
            <w:tcW w:w="1723" w:type="dxa"/>
            <w:noWrap w:val="0"/>
            <w:vAlign w:val="center"/>
          </w:tcPr>
          <w:p w14:paraId="46DD9531">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询比时间</w:t>
            </w:r>
          </w:p>
        </w:tc>
        <w:tc>
          <w:tcPr>
            <w:tcW w:w="6026" w:type="dxa"/>
            <w:noWrap w:val="0"/>
            <w:vAlign w:val="center"/>
          </w:tcPr>
          <w:p w14:paraId="1A9120A4">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u w:val="single"/>
              </w:rPr>
              <w:t>详见询比邀请</w:t>
            </w:r>
          </w:p>
        </w:tc>
      </w:tr>
      <w:tr w14:paraId="194C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continue"/>
            <w:noWrap w:val="0"/>
            <w:vAlign w:val="center"/>
          </w:tcPr>
          <w:p w14:paraId="172A7ED2">
            <w:pPr>
              <w:rPr>
                <w:color w:val="auto"/>
                <w:highlight w:val="none"/>
              </w:rPr>
            </w:pPr>
          </w:p>
        </w:tc>
        <w:tc>
          <w:tcPr>
            <w:tcW w:w="1723" w:type="dxa"/>
            <w:noWrap w:val="0"/>
            <w:vAlign w:val="center"/>
          </w:tcPr>
          <w:p w14:paraId="74C810DD">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询比地点</w:t>
            </w:r>
          </w:p>
        </w:tc>
        <w:tc>
          <w:tcPr>
            <w:tcW w:w="6026" w:type="dxa"/>
            <w:noWrap w:val="0"/>
            <w:vAlign w:val="center"/>
          </w:tcPr>
          <w:p w14:paraId="38F26DCC">
            <w:pPr>
              <w:pStyle w:val="51"/>
              <w:widowControl w:val="0"/>
              <w:spacing w:before="0" w:beforeAutospacing="0" w:after="0" w:afterAutospacing="0"/>
              <w:jc w:val="both"/>
              <w:rPr>
                <w:rFonts w:hint="eastAsia" w:ascii="宋体" w:cs="宋体"/>
                <w:b w:val="0"/>
                <w:color w:val="auto"/>
                <w:sz w:val="24"/>
                <w:szCs w:val="24"/>
                <w:highlight w:val="none"/>
                <w:u w:val="single"/>
              </w:rPr>
            </w:pPr>
            <w:r>
              <w:rPr>
                <w:rFonts w:hint="eastAsia" w:ascii="宋体" w:cs="宋体"/>
                <w:b w:val="0"/>
                <w:color w:val="auto"/>
                <w:sz w:val="24"/>
                <w:szCs w:val="24"/>
                <w:highlight w:val="none"/>
                <w:u w:val="single"/>
              </w:rPr>
              <w:t>详见询比邀请</w:t>
            </w:r>
          </w:p>
        </w:tc>
      </w:tr>
      <w:tr w14:paraId="3E79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3BADD072">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19.3</w:t>
            </w:r>
          </w:p>
        </w:tc>
        <w:tc>
          <w:tcPr>
            <w:tcW w:w="1723" w:type="dxa"/>
            <w:noWrap w:val="0"/>
            <w:vAlign w:val="center"/>
          </w:tcPr>
          <w:p w14:paraId="464DEAA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评审方法</w:t>
            </w:r>
          </w:p>
        </w:tc>
        <w:tc>
          <w:tcPr>
            <w:tcW w:w="6026" w:type="dxa"/>
            <w:noWrap w:val="0"/>
            <w:vAlign w:val="center"/>
          </w:tcPr>
          <w:p w14:paraId="6AB8F0EC">
            <w:pPr>
              <w:pStyle w:val="51"/>
              <w:widowControl w:val="0"/>
              <w:spacing w:before="0" w:beforeAutospacing="0" w:after="0" w:afterAutospacing="0"/>
              <w:jc w:val="both"/>
              <w:rPr>
                <w:rFonts w:hint="eastAsia" w:ascii="宋体" w:cs="宋体"/>
                <w:b w:val="0"/>
                <w:color w:val="auto"/>
                <w:sz w:val="24"/>
                <w:szCs w:val="24"/>
                <w:highlight w:val="none"/>
              </w:rPr>
            </w:pPr>
            <w:r>
              <w:rPr>
                <w:rFonts w:ascii="宋体" w:cs="宋体"/>
                <w:b w:val="0"/>
                <w:bCs w:val="0"/>
                <w:color w:val="auto"/>
                <w:sz w:val="24"/>
                <w:szCs w:val="24"/>
                <w:highlight w:val="none"/>
              </w:rPr>
              <w:sym w:font="Wingdings" w:char="F0FE"/>
            </w:r>
            <w:r>
              <w:rPr>
                <w:rFonts w:hint="eastAsia" w:ascii="宋体" w:cs="宋体"/>
                <w:b w:val="0"/>
                <w:color w:val="auto"/>
                <w:sz w:val="24"/>
                <w:szCs w:val="24"/>
                <w:highlight w:val="none"/>
                <w:u w:val="single"/>
              </w:rPr>
              <w:t>综合评分法</w:t>
            </w:r>
          </w:p>
        </w:tc>
      </w:tr>
      <w:tr w14:paraId="225F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restart"/>
            <w:noWrap w:val="0"/>
            <w:vAlign w:val="center"/>
          </w:tcPr>
          <w:p w14:paraId="1E8A11C8">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24.1</w:t>
            </w:r>
          </w:p>
        </w:tc>
        <w:tc>
          <w:tcPr>
            <w:tcW w:w="1723" w:type="dxa"/>
            <w:vMerge w:val="restart"/>
            <w:noWrap w:val="0"/>
            <w:vAlign w:val="center"/>
          </w:tcPr>
          <w:p w14:paraId="1D287735">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确定</w:t>
            </w:r>
            <w:r>
              <w:rPr>
                <w:rFonts w:hint="eastAsia" w:ascii="宋体" w:cs="宋体"/>
                <w:b w:val="0"/>
                <w:color w:val="auto"/>
                <w:sz w:val="24"/>
                <w:szCs w:val="24"/>
                <w:highlight w:val="none"/>
                <w:lang w:eastAsia="zh-CN"/>
              </w:rPr>
              <w:t>成交供应商</w:t>
            </w:r>
          </w:p>
        </w:tc>
        <w:tc>
          <w:tcPr>
            <w:tcW w:w="6026" w:type="dxa"/>
            <w:noWrap w:val="0"/>
            <w:vAlign w:val="center"/>
          </w:tcPr>
          <w:p w14:paraId="4BA2300A">
            <w:pPr>
              <w:pStyle w:val="51"/>
              <w:widowControl w:val="0"/>
              <w:spacing w:before="0" w:beforeAutospacing="0" w:after="0" w:afterAutospacing="0"/>
              <w:jc w:val="both"/>
              <w:rPr>
                <w:rFonts w:hint="eastAsia" w:ascii="宋体" w:cs="宋体"/>
                <w:b w:val="0"/>
                <w:color w:val="auto"/>
                <w:sz w:val="24"/>
                <w:szCs w:val="24"/>
                <w:highlight w:val="none"/>
                <w:u w:val="single"/>
              </w:rPr>
            </w:pPr>
            <w:r>
              <w:rPr>
                <w:rFonts w:hint="eastAsia" w:ascii="宋体" w:cs="宋体"/>
                <w:b w:val="0"/>
                <w:color w:val="auto"/>
                <w:sz w:val="24"/>
                <w:szCs w:val="24"/>
                <w:highlight w:val="none"/>
              </w:rPr>
              <w:t>询比小组推荐</w:t>
            </w:r>
            <w:r>
              <w:rPr>
                <w:rFonts w:hint="eastAsia" w:ascii="宋体" w:cs="宋体"/>
                <w:b w:val="0"/>
                <w:color w:val="auto"/>
                <w:sz w:val="24"/>
                <w:szCs w:val="24"/>
                <w:highlight w:val="none"/>
                <w:lang w:val="en-US" w:eastAsia="zh-CN"/>
              </w:rPr>
              <w:t>个标包</w:t>
            </w:r>
            <w:r>
              <w:rPr>
                <w:rFonts w:hint="eastAsia" w:ascii="宋体" w:cs="宋体"/>
                <w:b w:val="0"/>
                <w:color w:val="auto"/>
                <w:sz w:val="24"/>
                <w:szCs w:val="24"/>
                <w:highlight w:val="none"/>
                <w:lang w:eastAsia="zh-CN"/>
              </w:rPr>
              <w:t>成交候选人</w:t>
            </w:r>
            <w:r>
              <w:rPr>
                <w:rFonts w:hint="eastAsia" w:ascii="宋体" w:cs="宋体"/>
                <w:b w:val="0"/>
                <w:color w:val="auto"/>
                <w:sz w:val="24"/>
                <w:szCs w:val="24"/>
                <w:highlight w:val="none"/>
              </w:rPr>
              <w:t>的数量：</w:t>
            </w:r>
            <w:r>
              <w:rPr>
                <w:rFonts w:hint="eastAsia" w:ascii="宋体" w:cs="宋体"/>
                <w:b w:val="0"/>
                <w:color w:val="auto"/>
                <w:sz w:val="24"/>
                <w:szCs w:val="24"/>
                <w:highlight w:val="none"/>
                <w:u w:val="single"/>
                <w:lang w:val="en-US" w:eastAsia="zh-CN"/>
              </w:rPr>
              <w:t>1-3</w:t>
            </w:r>
            <w:r>
              <w:rPr>
                <w:rFonts w:hint="eastAsia" w:ascii="宋体" w:cs="宋体"/>
                <w:b w:val="0"/>
                <w:bCs w:val="0"/>
                <w:color w:val="auto"/>
                <w:sz w:val="24"/>
                <w:szCs w:val="24"/>
                <w:highlight w:val="none"/>
                <w:u w:val="single"/>
              </w:rPr>
              <w:t>家</w:t>
            </w:r>
          </w:p>
        </w:tc>
      </w:tr>
      <w:tr w14:paraId="5E93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continue"/>
            <w:noWrap w:val="0"/>
            <w:vAlign w:val="center"/>
          </w:tcPr>
          <w:p w14:paraId="33963A5F">
            <w:pPr>
              <w:rPr>
                <w:color w:val="auto"/>
                <w:highlight w:val="none"/>
              </w:rPr>
            </w:pPr>
          </w:p>
        </w:tc>
        <w:tc>
          <w:tcPr>
            <w:tcW w:w="1723" w:type="dxa"/>
            <w:vMerge w:val="continue"/>
            <w:noWrap w:val="0"/>
            <w:vAlign w:val="center"/>
          </w:tcPr>
          <w:p w14:paraId="0D58616E">
            <w:pPr>
              <w:rPr>
                <w:color w:val="auto"/>
                <w:highlight w:val="none"/>
              </w:rPr>
            </w:pPr>
          </w:p>
        </w:tc>
        <w:tc>
          <w:tcPr>
            <w:tcW w:w="6026" w:type="dxa"/>
            <w:noWrap w:val="0"/>
            <w:vAlign w:val="center"/>
          </w:tcPr>
          <w:p w14:paraId="344B8C54">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lang w:val="en-US" w:eastAsia="zh-CN"/>
              </w:rPr>
              <w:t>各标包</w:t>
            </w:r>
            <w:r>
              <w:rPr>
                <w:rFonts w:hint="eastAsia" w:ascii="宋体" w:cs="宋体"/>
                <w:b w:val="0"/>
                <w:color w:val="auto"/>
                <w:sz w:val="24"/>
                <w:szCs w:val="24"/>
                <w:highlight w:val="none"/>
              </w:rPr>
              <w:t>确定</w:t>
            </w:r>
            <w:r>
              <w:rPr>
                <w:rFonts w:hint="eastAsia" w:ascii="宋体" w:cs="宋体"/>
                <w:b w:val="0"/>
                <w:color w:val="auto"/>
                <w:sz w:val="24"/>
                <w:szCs w:val="24"/>
                <w:highlight w:val="none"/>
                <w:lang w:eastAsia="zh-CN"/>
              </w:rPr>
              <w:t>成交供应商</w:t>
            </w:r>
            <w:r>
              <w:rPr>
                <w:rFonts w:hint="eastAsia" w:ascii="宋体" w:cs="宋体"/>
                <w:b w:val="0"/>
                <w:color w:val="auto"/>
                <w:sz w:val="24"/>
                <w:szCs w:val="24"/>
                <w:highlight w:val="none"/>
              </w:rPr>
              <w:t>：</w:t>
            </w:r>
          </w:p>
          <w:p w14:paraId="00D308CB">
            <w:pPr>
              <w:pStyle w:val="51"/>
              <w:widowControl w:val="0"/>
              <w:spacing w:before="0" w:beforeAutospacing="0" w:after="0" w:afterAutospacing="0"/>
              <w:jc w:val="both"/>
              <w:rPr>
                <w:rFonts w:hint="eastAsia" w:ascii="宋体" w:cs="宋体"/>
                <w:b w:val="0"/>
                <w:color w:val="auto"/>
                <w:sz w:val="24"/>
                <w:szCs w:val="24"/>
                <w:highlight w:val="none"/>
              </w:rPr>
            </w:pPr>
            <w:r>
              <w:rPr>
                <w:rFonts w:ascii="宋体" w:cs="宋体"/>
                <w:b w:val="0"/>
                <w:bCs w:val="0"/>
                <w:color w:val="auto"/>
                <w:sz w:val="24"/>
                <w:szCs w:val="24"/>
                <w:highlight w:val="none"/>
              </w:rPr>
              <w:sym w:font="Wingdings" w:char="00FE"/>
            </w:r>
            <w:r>
              <w:rPr>
                <w:rFonts w:hint="eastAsia" w:ascii="宋体" w:cs="宋体"/>
                <w:b w:val="0"/>
                <w:color w:val="auto"/>
                <w:sz w:val="24"/>
                <w:szCs w:val="24"/>
                <w:highlight w:val="none"/>
              </w:rPr>
              <w:t>采购人委托询比小组确定     □采购人确定</w:t>
            </w:r>
          </w:p>
        </w:tc>
      </w:tr>
      <w:tr w14:paraId="73CA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3F912614">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27.2</w:t>
            </w:r>
          </w:p>
        </w:tc>
        <w:tc>
          <w:tcPr>
            <w:tcW w:w="1723" w:type="dxa"/>
            <w:noWrap w:val="0"/>
            <w:vAlign w:val="center"/>
          </w:tcPr>
          <w:p w14:paraId="159BDB8B">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随成交结果公告同时公告的</w:t>
            </w:r>
            <w:r>
              <w:rPr>
                <w:rFonts w:hint="eastAsia" w:ascii="宋体" w:cs="宋体"/>
                <w:b w:val="0"/>
                <w:color w:val="auto"/>
                <w:sz w:val="24"/>
                <w:szCs w:val="24"/>
                <w:highlight w:val="none"/>
                <w:lang w:eastAsia="zh-CN"/>
              </w:rPr>
              <w:t>成交供应商</w:t>
            </w:r>
            <w:r>
              <w:rPr>
                <w:rFonts w:hint="eastAsia" w:ascii="宋体" w:cs="宋体"/>
                <w:b w:val="0"/>
                <w:color w:val="auto"/>
                <w:sz w:val="24"/>
                <w:szCs w:val="24"/>
                <w:highlight w:val="none"/>
              </w:rPr>
              <w:t>的响应文件内容</w:t>
            </w:r>
          </w:p>
        </w:tc>
        <w:tc>
          <w:tcPr>
            <w:tcW w:w="6026" w:type="dxa"/>
            <w:noWrap w:val="0"/>
            <w:vAlign w:val="center"/>
          </w:tcPr>
          <w:p w14:paraId="57023ADA">
            <w:pPr>
              <w:pStyle w:val="51"/>
              <w:widowControl w:val="0"/>
              <w:spacing w:before="0" w:beforeAutospacing="0" w:after="0" w:afterAutospacing="0"/>
              <w:jc w:val="both"/>
              <w:rPr>
                <w:rFonts w:hint="eastAsia" w:ascii="宋体" w:eastAsia="宋体" w:cs="宋体"/>
                <w:b w:val="0"/>
                <w:bCs w:val="0"/>
                <w:color w:val="auto"/>
                <w:sz w:val="24"/>
                <w:szCs w:val="24"/>
                <w:highlight w:val="none"/>
                <w:lang w:eastAsia="zh-CN"/>
              </w:rPr>
            </w:pPr>
            <w:r>
              <w:rPr>
                <w:rFonts w:hint="eastAsia" w:ascii="宋体" w:cs="宋体"/>
                <w:b w:val="0"/>
                <w:color w:val="auto"/>
                <w:sz w:val="24"/>
                <w:szCs w:val="24"/>
                <w:highlight w:val="none"/>
                <w:lang w:val="en-US" w:eastAsia="zh-CN"/>
              </w:rPr>
              <w:t>/</w:t>
            </w:r>
          </w:p>
        </w:tc>
      </w:tr>
      <w:tr w14:paraId="1081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06E158A0">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28.1</w:t>
            </w:r>
          </w:p>
        </w:tc>
        <w:tc>
          <w:tcPr>
            <w:tcW w:w="1723" w:type="dxa"/>
            <w:noWrap w:val="0"/>
            <w:vAlign w:val="center"/>
          </w:tcPr>
          <w:p w14:paraId="0F86937C">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成交通知书发出的形式</w:t>
            </w:r>
          </w:p>
        </w:tc>
        <w:tc>
          <w:tcPr>
            <w:tcW w:w="6026" w:type="dxa"/>
            <w:noWrap w:val="0"/>
            <w:vAlign w:val="center"/>
          </w:tcPr>
          <w:p w14:paraId="06A4D48B">
            <w:pPr>
              <w:pStyle w:val="51"/>
              <w:widowControl w:val="0"/>
              <w:spacing w:before="0" w:beforeAutospacing="0" w:after="0" w:afterAutospacing="0"/>
              <w:jc w:val="both"/>
              <w:rPr>
                <w:rFonts w:hint="eastAsia" w:ascii="宋体" w:cs="宋体"/>
                <w:b w:val="0"/>
                <w:color w:val="auto"/>
                <w:sz w:val="24"/>
                <w:szCs w:val="24"/>
                <w:highlight w:val="none"/>
              </w:rPr>
            </w:pPr>
            <w:r>
              <w:rPr>
                <w:rFonts w:ascii="宋体" w:cs="宋体"/>
                <w:b w:val="0"/>
                <w:bCs w:val="0"/>
                <w:color w:val="auto"/>
                <w:sz w:val="24"/>
                <w:szCs w:val="24"/>
                <w:highlight w:val="none"/>
              </w:rPr>
              <w:sym w:font="Wingdings" w:char="F0FE"/>
            </w:r>
            <w:r>
              <w:rPr>
                <w:rFonts w:hint="eastAsia" w:ascii="宋体" w:cs="宋体"/>
                <w:b w:val="0"/>
                <w:color w:val="auto"/>
                <w:sz w:val="24"/>
                <w:szCs w:val="24"/>
                <w:highlight w:val="none"/>
              </w:rPr>
              <w:t xml:space="preserve">书面     </w:t>
            </w:r>
            <w:r>
              <w:rPr>
                <w:rFonts w:ascii="宋体" w:cs="宋体"/>
                <w:b w:val="0"/>
                <w:bCs w:val="0"/>
                <w:color w:val="auto"/>
                <w:sz w:val="24"/>
                <w:szCs w:val="24"/>
                <w:highlight w:val="none"/>
              </w:rPr>
              <w:sym w:font="Wingdings" w:char="00A8"/>
            </w:r>
            <w:r>
              <w:rPr>
                <w:rFonts w:hint="eastAsia" w:ascii="宋体" w:cs="宋体"/>
                <w:b w:val="0"/>
                <w:color w:val="auto"/>
                <w:sz w:val="24"/>
                <w:szCs w:val="24"/>
                <w:highlight w:val="none"/>
              </w:rPr>
              <w:t>数据电文</w:t>
            </w:r>
          </w:p>
        </w:tc>
      </w:tr>
      <w:tr w14:paraId="6848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0639F114">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29.1</w:t>
            </w:r>
          </w:p>
        </w:tc>
        <w:tc>
          <w:tcPr>
            <w:tcW w:w="1723" w:type="dxa"/>
            <w:noWrap w:val="0"/>
            <w:vAlign w:val="center"/>
          </w:tcPr>
          <w:p w14:paraId="0790E81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告知询比结果的形式</w:t>
            </w:r>
          </w:p>
        </w:tc>
        <w:tc>
          <w:tcPr>
            <w:tcW w:w="6026" w:type="dxa"/>
            <w:noWrap w:val="0"/>
            <w:vAlign w:val="center"/>
          </w:tcPr>
          <w:p w14:paraId="71269CA4">
            <w:pPr>
              <w:pStyle w:val="51"/>
              <w:widowControl w:val="0"/>
              <w:spacing w:before="0" w:beforeAutospacing="0" w:after="0" w:afterAutospacing="0"/>
              <w:jc w:val="both"/>
              <w:rPr>
                <w:rFonts w:hint="eastAsia" w:ascii="宋体" w:cs="宋体"/>
                <w:b w:val="0"/>
                <w:bCs w:val="0"/>
                <w:color w:val="auto"/>
                <w:sz w:val="24"/>
                <w:szCs w:val="24"/>
                <w:highlight w:val="none"/>
              </w:rPr>
            </w:pPr>
            <w:r>
              <w:rPr>
                <w:rFonts w:hint="eastAsia" w:ascii="宋体" w:hAnsi="宋体" w:cs="宋体"/>
                <w:b w:val="0"/>
                <w:bCs w:val="0"/>
                <w:color w:val="auto"/>
                <w:sz w:val="24"/>
                <w:szCs w:val="24"/>
                <w:highlight w:val="none"/>
              </w:rPr>
              <w:t>同</w:t>
            </w:r>
            <w:r>
              <w:rPr>
                <w:rFonts w:hint="eastAsia" w:ascii="宋体" w:cs="宋体"/>
                <w:b w:val="0"/>
                <w:color w:val="auto"/>
                <w:sz w:val="24"/>
                <w:szCs w:val="24"/>
                <w:highlight w:val="none"/>
              </w:rPr>
              <w:t>询比</w:t>
            </w:r>
            <w:r>
              <w:rPr>
                <w:rFonts w:hint="eastAsia" w:ascii="宋体" w:hAnsi="宋体" w:cs="宋体"/>
                <w:b w:val="0"/>
                <w:bCs w:val="0"/>
                <w:color w:val="auto"/>
                <w:sz w:val="24"/>
                <w:szCs w:val="24"/>
                <w:highlight w:val="none"/>
              </w:rPr>
              <w:t>公告</w:t>
            </w:r>
          </w:p>
        </w:tc>
      </w:tr>
      <w:tr w14:paraId="0583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7" w:type="dxa"/>
            <w:noWrap w:val="0"/>
            <w:vAlign w:val="center"/>
          </w:tcPr>
          <w:p w14:paraId="4949681B">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30.1</w:t>
            </w:r>
          </w:p>
        </w:tc>
        <w:tc>
          <w:tcPr>
            <w:tcW w:w="1723" w:type="dxa"/>
            <w:noWrap w:val="0"/>
            <w:vAlign w:val="center"/>
          </w:tcPr>
          <w:p w14:paraId="0C6922CF">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履约保证金</w:t>
            </w:r>
          </w:p>
        </w:tc>
        <w:tc>
          <w:tcPr>
            <w:tcW w:w="6026" w:type="dxa"/>
            <w:noWrap w:val="0"/>
            <w:vAlign w:val="center"/>
          </w:tcPr>
          <w:p w14:paraId="0465CDAD">
            <w:pPr>
              <w:pStyle w:val="51"/>
              <w:widowControl w:val="0"/>
              <w:spacing w:before="0" w:beforeAutospacing="0" w:after="0" w:afterAutospacing="0" w:line="360" w:lineRule="auto"/>
              <w:jc w:val="both"/>
              <w:rPr>
                <w:rFonts w:hint="eastAsia" w:ascii="宋体" w:cs="宋体"/>
                <w:b w:val="0"/>
                <w:color w:val="auto"/>
                <w:sz w:val="24"/>
                <w:szCs w:val="24"/>
                <w:highlight w:val="none"/>
              </w:rPr>
            </w:pPr>
            <w:r>
              <w:rPr>
                <w:rFonts w:hint="eastAsia" w:ascii="宋体" w:hAnsi="宋体" w:cs="宋体"/>
                <w:bCs w:val="0"/>
                <w:color w:val="auto"/>
                <w:sz w:val="24"/>
                <w:szCs w:val="24"/>
                <w:highlight w:val="none"/>
                <w:lang w:eastAsia="zh-CN"/>
              </w:rPr>
              <w:t>☑</w:t>
            </w:r>
            <w:r>
              <w:rPr>
                <w:rFonts w:hint="eastAsia" w:ascii="宋体" w:hAnsi="宋体" w:cs="宋体"/>
                <w:b w:val="0"/>
                <w:color w:val="auto"/>
                <w:sz w:val="24"/>
                <w:szCs w:val="24"/>
                <w:highlight w:val="none"/>
              </w:rPr>
              <w:t>不收取</w:t>
            </w:r>
          </w:p>
        </w:tc>
      </w:tr>
      <w:tr w14:paraId="4C89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07" w:type="dxa"/>
            <w:noWrap w:val="0"/>
            <w:vAlign w:val="center"/>
          </w:tcPr>
          <w:p w14:paraId="78D34CD6">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31.1</w:t>
            </w:r>
          </w:p>
        </w:tc>
        <w:tc>
          <w:tcPr>
            <w:tcW w:w="1723" w:type="dxa"/>
            <w:noWrap w:val="0"/>
            <w:vAlign w:val="center"/>
          </w:tcPr>
          <w:p w14:paraId="0622B107">
            <w:pPr>
              <w:pStyle w:val="51"/>
              <w:widowControl w:val="0"/>
              <w:spacing w:before="0" w:beforeAutospacing="0" w:after="0" w:afterAutospacing="0"/>
              <w:jc w:val="both"/>
              <w:rPr>
                <w:rFonts w:hint="eastAsia" w:ascii="宋体" w:cs="宋体"/>
                <w:b w:val="0"/>
                <w:color w:val="auto"/>
                <w:sz w:val="24"/>
                <w:szCs w:val="24"/>
                <w:highlight w:val="none"/>
                <w:lang w:val="en-US" w:eastAsia="zh-CN"/>
              </w:rPr>
            </w:pPr>
            <w:r>
              <w:rPr>
                <w:rFonts w:hint="eastAsia" w:ascii="宋体" w:cs="宋体"/>
                <w:b w:val="0"/>
                <w:color w:val="auto"/>
                <w:sz w:val="24"/>
                <w:szCs w:val="24"/>
                <w:highlight w:val="none"/>
                <w:lang w:val="en-US" w:eastAsia="zh-CN"/>
              </w:rPr>
              <w:t>代理服务费</w:t>
            </w:r>
          </w:p>
          <w:p w14:paraId="2E5B395C">
            <w:pPr>
              <w:pStyle w:val="51"/>
              <w:widowControl w:val="0"/>
              <w:spacing w:before="0" w:beforeAutospacing="0" w:after="0" w:afterAutospacing="0"/>
              <w:jc w:val="both"/>
              <w:rPr>
                <w:rFonts w:hint="eastAsia" w:ascii="宋体" w:cs="宋体"/>
                <w:b w:val="0"/>
                <w:color w:val="auto"/>
                <w:sz w:val="24"/>
                <w:szCs w:val="24"/>
                <w:highlight w:val="none"/>
              </w:rPr>
            </w:pPr>
          </w:p>
        </w:tc>
        <w:tc>
          <w:tcPr>
            <w:tcW w:w="6026" w:type="dxa"/>
            <w:noWrap w:val="0"/>
            <w:vAlign w:val="center"/>
          </w:tcPr>
          <w:p w14:paraId="15BE89BE">
            <w:pPr>
              <w:pStyle w:val="51"/>
              <w:widowControl w:val="0"/>
              <w:spacing w:before="0" w:beforeAutospacing="0" w:after="0" w:afterAutospacing="0" w:line="360" w:lineRule="auto"/>
              <w:jc w:val="both"/>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（1）金额：</w:t>
            </w:r>
          </w:p>
          <w:p w14:paraId="023C430B">
            <w:pPr>
              <w:pStyle w:val="51"/>
              <w:widowControl w:val="0"/>
              <w:spacing w:before="0" w:beforeAutospacing="0" w:after="0" w:afterAutospacing="0" w:line="360" w:lineRule="auto"/>
              <w:jc w:val="both"/>
              <w:rPr>
                <w:rFonts w:hint="eastAsia" w:ascii="宋体" w:hAnsi="宋体" w:cs="宋体"/>
                <w:b w:val="0"/>
                <w:color w:val="auto"/>
                <w:sz w:val="24"/>
                <w:szCs w:val="24"/>
                <w:highlight w:val="none"/>
              </w:rPr>
            </w:pPr>
            <w:r>
              <w:rPr>
                <w:rFonts w:hint="eastAsia" w:ascii="宋体" w:hAnsi="宋体" w:cs="宋体"/>
                <w:b w:val="0"/>
                <w:bCs w:val="0"/>
                <w:color w:val="auto"/>
                <w:sz w:val="24"/>
                <w:szCs w:val="24"/>
                <w:highlight w:val="none"/>
              </w:rPr>
              <w:t>□</w:t>
            </w:r>
            <w:r>
              <w:rPr>
                <w:rFonts w:hint="eastAsia" w:ascii="宋体" w:hAnsi="宋体" w:cs="宋体"/>
                <w:b w:val="0"/>
                <w:color w:val="auto"/>
                <w:sz w:val="24"/>
                <w:szCs w:val="24"/>
                <w:highlight w:val="none"/>
              </w:rPr>
              <w:t>免收</w:t>
            </w:r>
          </w:p>
          <w:p w14:paraId="51FBE7F3">
            <w:pPr>
              <w:pStyle w:val="51"/>
              <w:widowControl w:val="0"/>
              <w:spacing w:before="0" w:beforeAutospacing="0" w:after="0" w:afterAutospacing="0" w:line="360" w:lineRule="auto"/>
              <w:jc w:val="both"/>
              <w:rPr>
                <w:rFonts w:hint="eastAsia" w:ascii="宋体" w:hAnsi="宋体" w:cs="宋体"/>
                <w:b w:val="0"/>
                <w:color w:val="auto"/>
                <w:sz w:val="24"/>
                <w:szCs w:val="24"/>
                <w:highlight w:val="none"/>
                <w:u w:val="single"/>
              </w:rPr>
            </w:pPr>
            <w:r>
              <w:rPr>
                <w:rFonts w:hint="eastAsia" w:ascii="宋体" w:hAnsi="宋体" w:cs="宋体"/>
                <w:b w:val="0"/>
                <w:color w:val="auto"/>
                <w:sz w:val="24"/>
                <w:szCs w:val="24"/>
                <w:highlight w:val="none"/>
              </w:rPr>
              <w:t>□定额收取：人民币</w:t>
            </w:r>
            <w:r>
              <w:rPr>
                <w:rFonts w:hint="eastAsia" w:ascii="宋体" w:hAnsi="宋体" w:cs="宋体"/>
                <w:b w:val="0"/>
                <w:color w:val="auto"/>
                <w:sz w:val="24"/>
                <w:szCs w:val="24"/>
                <w:highlight w:val="none"/>
                <w:u w:val="single"/>
              </w:rPr>
              <w:t xml:space="preserve">    </w:t>
            </w:r>
            <w:r>
              <w:rPr>
                <w:rFonts w:hint="eastAsia" w:ascii="宋体" w:hAnsi="宋体" w:cs="宋体"/>
                <w:b w:val="0"/>
                <w:color w:val="auto"/>
                <w:sz w:val="24"/>
                <w:szCs w:val="24"/>
                <w:highlight w:val="none"/>
              </w:rPr>
              <w:t>元</w:t>
            </w:r>
          </w:p>
          <w:p w14:paraId="5000E7CD">
            <w:pPr>
              <w:pStyle w:val="6"/>
              <w:topLinePunct/>
              <w:spacing w:line="360" w:lineRule="auto"/>
              <w:rPr>
                <w:rFonts w:hint="eastAsia" w:hAnsi="宋体"/>
                <w:color w:val="auto"/>
                <w:highlight w:val="none"/>
                <w:u w:val="single"/>
              </w:rPr>
            </w:pPr>
            <w:r>
              <w:rPr>
                <w:rFonts w:hint="eastAsia" w:hAnsi="宋体"/>
                <w:color w:val="auto"/>
                <w:highlight w:val="none"/>
              </w:rPr>
              <w:t>☑</w:t>
            </w:r>
            <w:r>
              <w:rPr>
                <w:rFonts w:hint="eastAsia" w:hAnsi="宋体"/>
                <w:color w:val="auto"/>
                <w:highlight w:val="none"/>
                <w:lang w:val="en-US" w:eastAsia="zh-CN"/>
              </w:rPr>
              <w:t>代理服务费</w:t>
            </w:r>
            <w:r>
              <w:rPr>
                <w:rFonts w:hint="eastAsia" w:hAnsi="宋体"/>
                <w:color w:val="auto"/>
                <w:highlight w:val="none"/>
                <w:lang w:val="zh-CN" w:eastAsia="zh-CN"/>
              </w:rPr>
              <w:t>按下列标准收取：以</w:t>
            </w:r>
            <w:r>
              <w:rPr>
                <w:rFonts w:hint="eastAsia" w:hAnsi="宋体"/>
                <w:color w:val="auto"/>
                <w:highlight w:val="none"/>
                <w:lang w:val="en-US" w:eastAsia="zh-CN"/>
              </w:rPr>
              <w:t>成交</w:t>
            </w:r>
            <w:r>
              <w:rPr>
                <w:rFonts w:hint="eastAsia" w:hAnsi="宋体"/>
                <w:color w:val="auto"/>
                <w:highlight w:val="none"/>
                <w:lang w:val="zh-CN" w:eastAsia="zh-CN"/>
              </w:rPr>
              <w:t>价为基数，参照国家计委关于印发《代理服务收费管理暂行办法》(计价格(2002)1980号)的通知规定及相关</w:t>
            </w:r>
            <w:r>
              <w:rPr>
                <w:rFonts w:hint="eastAsia" w:hAnsi="宋体"/>
                <w:color w:val="auto"/>
                <w:highlight w:val="none"/>
                <w:lang w:val="en-US" w:eastAsia="zh-CN"/>
              </w:rPr>
              <w:t>优惠后</w:t>
            </w:r>
            <w:r>
              <w:rPr>
                <w:rFonts w:hint="eastAsia" w:hAnsi="宋体"/>
                <w:color w:val="auto"/>
                <w:highlight w:val="none"/>
                <w:lang w:val="zh-CN" w:eastAsia="zh-CN"/>
              </w:rPr>
              <w:t>收取，</w:t>
            </w:r>
            <w:r>
              <w:rPr>
                <w:rFonts w:hint="eastAsia" w:hAnsi="宋体"/>
                <w:color w:val="auto"/>
                <w:highlight w:val="none"/>
                <w:lang w:val="en-US" w:eastAsia="zh-CN"/>
              </w:rPr>
              <w:t>不足3000元按3000元收取，</w:t>
            </w:r>
            <w:r>
              <w:rPr>
                <w:rFonts w:hint="eastAsia" w:hAnsi="宋体"/>
                <w:color w:val="auto"/>
                <w:highlight w:val="none"/>
                <w:lang w:val="zh-CN" w:eastAsia="zh-CN"/>
              </w:rPr>
              <w:t>成交服务费、专家评审费由成交供应商支付，不单独列项。</w:t>
            </w:r>
          </w:p>
          <w:p w14:paraId="213E8A6D">
            <w:pPr>
              <w:pStyle w:val="51"/>
              <w:widowControl w:val="0"/>
              <w:spacing w:before="0" w:beforeAutospacing="0" w:after="0" w:afterAutospacing="0" w:line="360" w:lineRule="auto"/>
              <w:jc w:val="both"/>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（2）支付方式：☑转账/电汇</w:t>
            </w:r>
          </w:p>
          <w:p w14:paraId="3B1DB781">
            <w:pPr>
              <w:pStyle w:val="51"/>
              <w:widowControl w:val="0"/>
              <w:spacing w:before="0" w:beforeAutospacing="0" w:after="0" w:afterAutospacing="0" w:line="360" w:lineRule="auto"/>
              <w:jc w:val="both"/>
              <w:rPr>
                <w:rFonts w:hint="eastAsia" w:ascii="宋体" w:hAnsi="宋体" w:cs="宋体"/>
                <w:b w:val="0"/>
                <w:color w:val="auto"/>
                <w:sz w:val="24"/>
                <w:szCs w:val="24"/>
                <w:highlight w:val="none"/>
                <w:u w:val="single"/>
              </w:rPr>
            </w:pPr>
            <w:r>
              <w:rPr>
                <w:rFonts w:hint="eastAsia" w:ascii="宋体" w:hAnsi="宋体" w:cs="宋体"/>
                <w:b w:val="0"/>
                <w:color w:val="auto"/>
                <w:sz w:val="24"/>
                <w:szCs w:val="24"/>
                <w:highlight w:val="none"/>
              </w:rPr>
              <w:t>（3）收取单位：</w:t>
            </w:r>
            <w:r>
              <w:rPr>
                <w:rFonts w:hint="eastAsia" w:ascii="宋体" w:hAnsi="宋体" w:cs="宋体"/>
                <w:b w:val="0"/>
                <w:color w:val="auto"/>
                <w:sz w:val="24"/>
                <w:szCs w:val="24"/>
                <w:highlight w:val="none"/>
                <w:u w:val="single"/>
              </w:rPr>
              <w:t>安徽广电项目管理有限公司</w:t>
            </w:r>
          </w:p>
          <w:p w14:paraId="6B03146E">
            <w:pPr>
              <w:pStyle w:val="51"/>
              <w:widowControl w:val="0"/>
              <w:spacing w:before="0" w:beforeAutospacing="0" w:after="0" w:afterAutospacing="0" w:line="360" w:lineRule="auto"/>
              <w:jc w:val="left"/>
              <w:rPr>
                <w:rFonts w:hint="eastAsia" w:ascii="宋体" w:hAnsi="宋体" w:cs="宋体"/>
                <w:b w:val="0"/>
                <w:color w:val="auto"/>
                <w:sz w:val="24"/>
                <w:szCs w:val="24"/>
                <w:highlight w:val="none"/>
                <w:u w:val="single"/>
              </w:rPr>
            </w:pPr>
            <w:r>
              <w:rPr>
                <w:rFonts w:hint="eastAsia" w:ascii="宋体" w:hAnsi="宋体" w:cs="宋体"/>
                <w:b w:val="0"/>
                <w:color w:val="auto"/>
                <w:sz w:val="24"/>
                <w:szCs w:val="24"/>
                <w:highlight w:val="none"/>
              </w:rPr>
              <w:t>（4）缴纳时间：</w:t>
            </w:r>
            <w:r>
              <w:rPr>
                <w:rFonts w:hint="eastAsia" w:ascii="宋体" w:hAnsi="宋体" w:cs="宋体"/>
                <w:b w:val="0"/>
                <w:color w:val="auto"/>
                <w:sz w:val="24"/>
                <w:szCs w:val="24"/>
                <w:highlight w:val="none"/>
                <w:u w:val="single"/>
              </w:rPr>
              <w:t>领取</w:t>
            </w:r>
            <w:r>
              <w:rPr>
                <w:rFonts w:hint="eastAsia" w:ascii="宋体" w:hAnsi="宋体" w:cs="宋体"/>
                <w:b w:val="0"/>
                <w:color w:val="auto"/>
                <w:sz w:val="24"/>
                <w:szCs w:val="24"/>
                <w:highlight w:val="none"/>
                <w:u w:val="single"/>
                <w:lang w:eastAsia="zh-CN"/>
              </w:rPr>
              <w:t>成交通知书</w:t>
            </w:r>
            <w:r>
              <w:rPr>
                <w:rFonts w:hint="eastAsia" w:ascii="宋体" w:hAnsi="宋体" w:cs="宋体"/>
                <w:b w:val="0"/>
                <w:color w:val="auto"/>
                <w:sz w:val="24"/>
                <w:szCs w:val="24"/>
                <w:highlight w:val="none"/>
                <w:u w:val="single"/>
              </w:rPr>
              <w:t>前</w:t>
            </w:r>
          </w:p>
          <w:p w14:paraId="515E1F14">
            <w:pPr>
              <w:pStyle w:val="51"/>
              <w:widowControl w:val="0"/>
              <w:spacing w:before="0" w:beforeAutospacing="0" w:after="0" w:afterAutospacing="0" w:line="360" w:lineRule="auto"/>
              <w:jc w:val="left"/>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（5）开户名称：安徽广电项目管理有限公司  </w:t>
            </w:r>
          </w:p>
          <w:p w14:paraId="76A92575">
            <w:pPr>
              <w:pStyle w:val="51"/>
              <w:widowControl w:val="0"/>
              <w:spacing w:before="0" w:beforeAutospacing="0" w:after="0" w:afterAutospacing="0" w:line="360" w:lineRule="auto"/>
              <w:ind w:firstLine="576" w:firstLineChars="240"/>
              <w:jc w:val="left"/>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开户银行：交通银行合肥三里庵支行</w:t>
            </w:r>
          </w:p>
          <w:p w14:paraId="385F89C6">
            <w:pPr>
              <w:pStyle w:val="51"/>
              <w:widowControl w:val="0"/>
              <w:spacing w:before="0" w:beforeAutospacing="0" w:after="0" w:afterAutospacing="0"/>
              <w:ind w:firstLine="480" w:firstLineChars="200"/>
              <w:jc w:val="both"/>
              <w:rPr>
                <w:rFonts w:hint="eastAsia" w:ascii="宋体" w:cs="宋体"/>
                <w:b w:val="0"/>
                <w:color w:val="auto"/>
                <w:sz w:val="24"/>
                <w:szCs w:val="24"/>
                <w:highlight w:val="none"/>
              </w:rPr>
            </w:pPr>
            <w:r>
              <w:rPr>
                <w:rFonts w:hint="eastAsia" w:ascii="宋体" w:hAnsi="宋体" w:cs="宋体"/>
                <w:b w:val="0"/>
                <w:bCs w:val="0"/>
                <w:color w:val="auto"/>
                <w:sz w:val="24"/>
                <w:szCs w:val="24"/>
                <w:highlight w:val="none"/>
              </w:rPr>
              <w:t>银行</w:t>
            </w:r>
            <w:r>
              <w:rPr>
                <w:rFonts w:hint="eastAsia" w:ascii="宋体" w:hAnsi="宋体" w:cs="宋体"/>
                <w:b w:val="0"/>
                <w:bCs w:val="0"/>
                <w:color w:val="auto"/>
                <w:sz w:val="24"/>
                <w:szCs w:val="24"/>
                <w:highlight w:val="none"/>
                <w:lang w:eastAsia="zh-CN"/>
              </w:rPr>
              <w:t>账</w:t>
            </w:r>
            <w:r>
              <w:rPr>
                <w:rFonts w:hint="eastAsia" w:ascii="宋体" w:hAnsi="宋体" w:cs="宋体"/>
                <w:b w:val="0"/>
                <w:bCs w:val="0"/>
                <w:color w:val="auto"/>
                <w:sz w:val="24"/>
                <w:szCs w:val="24"/>
                <w:highlight w:val="none"/>
              </w:rPr>
              <w:t>号：341316000013000792127</w:t>
            </w:r>
          </w:p>
        </w:tc>
      </w:tr>
      <w:tr w14:paraId="5433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007" w:type="dxa"/>
            <w:noWrap w:val="0"/>
            <w:vAlign w:val="center"/>
          </w:tcPr>
          <w:p w14:paraId="46FB31EE">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34.2</w:t>
            </w:r>
          </w:p>
        </w:tc>
        <w:tc>
          <w:tcPr>
            <w:tcW w:w="1723" w:type="dxa"/>
            <w:noWrap w:val="0"/>
            <w:vAlign w:val="center"/>
          </w:tcPr>
          <w:p w14:paraId="353A267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质疑期</w:t>
            </w:r>
          </w:p>
        </w:tc>
        <w:tc>
          <w:tcPr>
            <w:tcW w:w="6026" w:type="dxa"/>
            <w:noWrap w:val="0"/>
            <w:vAlign w:val="center"/>
          </w:tcPr>
          <w:p w14:paraId="2181FBE8">
            <w:pPr>
              <w:pStyle w:val="51"/>
              <w:widowControl w:val="0"/>
              <w:spacing w:before="0" w:beforeAutospacing="0" w:after="0" w:afterAutospacing="0"/>
              <w:jc w:val="both"/>
              <w:rPr>
                <w:rFonts w:hint="eastAsia" w:ascii="宋体" w:cs="宋体"/>
                <w:b w:val="0"/>
                <w:bCs w:val="0"/>
                <w:color w:val="auto"/>
                <w:sz w:val="24"/>
                <w:szCs w:val="24"/>
                <w:highlight w:val="none"/>
              </w:rPr>
            </w:pPr>
            <w:r>
              <w:rPr>
                <w:rFonts w:hint="eastAsia" w:ascii="宋体" w:cs="宋体"/>
                <w:b w:val="0"/>
                <w:bCs w:val="0"/>
                <w:color w:val="auto"/>
                <w:sz w:val="24"/>
                <w:szCs w:val="24"/>
                <w:highlight w:val="none"/>
                <w:lang w:eastAsia="zh-CN"/>
              </w:rPr>
              <w:t>询比文件</w:t>
            </w:r>
            <w:r>
              <w:rPr>
                <w:rFonts w:hint="eastAsia" w:ascii="宋体" w:cs="宋体"/>
                <w:b w:val="0"/>
                <w:bCs w:val="0"/>
                <w:color w:val="auto"/>
                <w:sz w:val="24"/>
                <w:szCs w:val="24"/>
                <w:highlight w:val="none"/>
              </w:rPr>
              <w:t>：获取</w:t>
            </w:r>
            <w:r>
              <w:rPr>
                <w:rFonts w:hint="eastAsia" w:ascii="宋体" w:cs="宋体"/>
                <w:b w:val="0"/>
                <w:bCs w:val="0"/>
                <w:color w:val="auto"/>
                <w:sz w:val="24"/>
                <w:szCs w:val="24"/>
                <w:highlight w:val="none"/>
                <w:lang w:eastAsia="zh-CN"/>
              </w:rPr>
              <w:t>询比文件</w:t>
            </w:r>
            <w:r>
              <w:rPr>
                <w:rFonts w:hint="eastAsia" w:ascii="宋体" w:cs="宋体"/>
                <w:b w:val="0"/>
                <w:bCs w:val="0"/>
                <w:color w:val="auto"/>
                <w:sz w:val="24"/>
                <w:szCs w:val="24"/>
                <w:highlight w:val="none"/>
              </w:rPr>
              <w:t>之日起至询问截止时间</w:t>
            </w:r>
          </w:p>
          <w:p w14:paraId="1F1ABF7A">
            <w:pPr>
              <w:pStyle w:val="51"/>
              <w:widowControl w:val="0"/>
              <w:spacing w:before="0" w:beforeAutospacing="0" w:after="0" w:afterAutospacing="0"/>
              <w:jc w:val="both"/>
              <w:rPr>
                <w:rFonts w:hint="eastAsia" w:ascii="宋体" w:cs="宋体"/>
                <w:b w:val="0"/>
                <w:bCs w:val="0"/>
                <w:color w:val="auto"/>
                <w:sz w:val="24"/>
                <w:szCs w:val="24"/>
                <w:highlight w:val="none"/>
                <w:u w:val="single"/>
              </w:rPr>
            </w:pPr>
            <w:r>
              <w:rPr>
                <w:rFonts w:hint="eastAsia" w:ascii="宋体" w:cs="宋体"/>
                <w:b w:val="0"/>
                <w:bCs w:val="0"/>
                <w:color w:val="auto"/>
                <w:sz w:val="24"/>
                <w:szCs w:val="24"/>
                <w:highlight w:val="none"/>
              </w:rPr>
              <w:t>采购结果或其他：结果公告发布之日起3日内</w:t>
            </w:r>
          </w:p>
        </w:tc>
      </w:tr>
      <w:tr w14:paraId="0CF9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11AA5072">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34.3</w:t>
            </w:r>
          </w:p>
        </w:tc>
        <w:tc>
          <w:tcPr>
            <w:tcW w:w="1723" w:type="dxa"/>
            <w:noWrap w:val="0"/>
            <w:vAlign w:val="center"/>
          </w:tcPr>
          <w:p w14:paraId="609C402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质疑函递交方式、接收部门、联系电话和通讯地址</w:t>
            </w:r>
          </w:p>
        </w:tc>
        <w:tc>
          <w:tcPr>
            <w:tcW w:w="6026" w:type="dxa"/>
            <w:noWrap w:val="0"/>
            <w:vAlign w:val="center"/>
          </w:tcPr>
          <w:p w14:paraId="37E00096">
            <w:pPr>
              <w:pStyle w:val="51"/>
              <w:widowControl w:val="0"/>
              <w:spacing w:before="0" w:beforeAutospacing="0" w:after="0" w:afterAutospacing="0"/>
              <w:jc w:val="both"/>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递交方式：书面形式</w:t>
            </w:r>
          </w:p>
          <w:p w14:paraId="347615C2">
            <w:pPr>
              <w:pStyle w:val="51"/>
              <w:widowControl w:val="0"/>
              <w:spacing w:before="0" w:beforeAutospacing="0" w:after="0" w:afterAutospacing="0"/>
              <w:jc w:val="both"/>
              <w:rPr>
                <w:rFonts w:hint="eastAsia" w:ascii="宋体" w:hAnsi="宋体" w:cs="宋体"/>
                <w:b w:val="0"/>
                <w:bCs w:val="0"/>
                <w:color w:val="auto"/>
                <w:sz w:val="24"/>
                <w:szCs w:val="24"/>
                <w:highlight w:val="none"/>
              </w:rPr>
            </w:pPr>
            <w:r>
              <w:rPr>
                <w:rFonts w:hint="eastAsia" w:ascii="宋体" w:hAnsi="宋体" w:cs="宋体"/>
                <w:b w:val="0"/>
                <w:color w:val="auto"/>
                <w:sz w:val="24"/>
                <w:szCs w:val="24"/>
                <w:highlight w:val="none"/>
              </w:rPr>
              <w:t>接收部门：</w:t>
            </w:r>
            <w:r>
              <w:rPr>
                <w:rFonts w:hint="eastAsia" w:ascii="宋体" w:hAnsi="宋体" w:cs="宋体"/>
                <w:b w:val="0"/>
                <w:bCs w:val="0"/>
                <w:color w:val="auto"/>
                <w:sz w:val="24"/>
                <w:szCs w:val="24"/>
                <w:highlight w:val="none"/>
              </w:rPr>
              <w:t>安徽广电项目管理有限公司</w:t>
            </w:r>
          </w:p>
          <w:p w14:paraId="6BAA2CE4">
            <w:pPr>
              <w:pStyle w:val="51"/>
              <w:widowControl w:val="0"/>
              <w:spacing w:before="0" w:beforeAutospacing="0" w:after="0" w:afterAutospacing="0"/>
              <w:jc w:val="both"/>
              <w:rPr>
                <w:rFonts w:hint="eastAsia" w:ascii="宋体" w:hAnsi="宋体" w:cs="宋体"/>
                <w:b w:val="0"/>
                <w:bCs w:val="0"/>
                <w:color w:val="auto"/>
                <w:sz w:val="24"/>
                <w:szCs w:val="24"/>
                <w:highlight w:val="none"/>
              </w:rPr>
            </w:pPr>
            <w:r>
              <w:rPr>
                <w:rFonts w:hint="eastAsia" w:ascii="宋体" w:hAnsi="宋体" w:cs="宋体"/>
                <w:b w:val="0"/>
                <w:color w:val="auto"/>
                <w:sz w:val="24"/>
                <w:szCs w:val="24"/>
                <w:highlight w:val="none"/>
              </w:rPr>
              <w:t>联系电话：0551-65614233</w:t>
            </w:r>
          </w:p>
          <w:p w14:paraId="366F9F48">
            <w:pPr>
              <w:pStyle w:val="51"/>
              <w:widowControl w:val="0"/>
              <w:spacing w:before="0" w:beforeAutospacing="0" w:after="0" w:afterAutospacing="0"/>
              <w:jc w:val="both"/>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通讯地址：</w:t>
            </w:r>
            <w:r>
              <w:rPr>
                <w:rFonts w:hint="eastAsia" w:ascii="宋体" w:hAnsi="宋体" w:cs="宋体"/>
                <w:b w:val="0"/>
                <w:bCs w:val="0"/>
                <w:color w:val="auto"/>
                <w:sz w:val="24"/>
                <w:szCs w:val="24"/>
                <w:highlight w:val="none"/>
              </w:rPr>
              <w:t>合肥市望江西路766号广电大厦5层</w:t>
            </w:r>
          </w:p>
        </w:tc>
      </w:tr>
      <w:tr w14:paraId="1342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710EA016">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w:t>
            </w:r>
          </w:p>
        </w:tc>
        <w:tc>
          <w:tcPr>
            <w:tcW w:w="1723" w:type="dxa"/>
            <w:noWrap w:val="0"/>
            <w:vAlign w:val="center"/>
          </w:tcPr>
          <w:p w14:paraId="22D0F606">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其他内容</w:t>
            </w:r>
          </w:p>
        </w:tc>
        <w:tc>
          <w:tcPr>
            <w:tcW w:w="6026" w:type="dxa"/>
            <w:noWrap w:val="0"/>
            <w:vAlign w:val="center"/>
          </w:tcPr>
          <w:p w14:paraId="06091A41">
            <w:pPr>
              <w:pStyle w:val="51"/>
              <w:widowControl w:val="0"/>
              <w:spacing w:before="0" w:beforeAutospacing="0" w:after="0" w:afterAutospacing="0"/>
              <w:jc w:val="both"/>
              <w:rPr>
                <w:rFonts w:hint="default" w:ascii="宋体" w:eastAsia="宋体" w:cs="宋体"/>
                <w:b w:val="0"/>
                <w:color w:val="auto"/>
                <w:sz w:val="24"/>
                <w:szCs w:val="24"/>
                <w:highlight w:val="none"/>
                <w:lang w:val="en-US" w:eastAsia="zh-CN"/>
              </w:rPr>
            </w:pPr>
            <w:r>
              <w:rPr>
                <w:rFonts w:hint="eastAsia" w:ascii="宋体" w:cs="宋体"/>
                <w:b w:val="0"/>
                <w:color w:val="auto"/>
                <w:sz w:val="24"/>
                <w:szCs w:val="24"/>
                <w:highlight w:val="none"/>
                <w:lang w:val="en-US" w:eastAsia="zh-CN"/>
              </w:rPr>
              <w:t>/</w:t>
            </w:r>
          </w:p>
        </w:tc>
      </w:tr>
      <w:tr w14:paraId="5115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0D5F0754">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35.1</w:t>
            </w:r>
          </w:p>
        </w:tc>
        <w:tc>
          <w:tcPr>
            <w:tcW w:w="1723" w:type="dxa"/>
            <w:noWrap w:val="0"/>
            <w:vAlign w:val="center"/>
          </w:tcPr>
          <w:p w14:paraId="0D0F10AA">
            <w:pPr>
              <w:pStyle w:val="51"/>
              <w:widowControl w:val="0"/>
              <w:spacing w:before="0" w:beforeAutospacing="0" w:after="0" w:afterAutospacing="0"/>
              <w:jc w:val="both"/>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rPr>
              <w:t>关于联合体参加询比的相关约定</w:t>
            </w:r>
            <w:r>
              <w:rPr>
                <w:rFonts w:hint="eastAsia" w:ascii="宋体" w:cs="宋体"/>
                <w:b w:val="0"/>
                <w:bCs w:val="0"/>
                <w:color w:val="auto"/>
                <w:sz w:val="24"/>
                <w:szCs w:val="24"/>
                <w:highlight w:val="none"/>
                <w:lang w:eastAsia="zh-CN"/>
              </w:rPr>
              <w:t>（本项目不适用）</w:t>
            </w:r>
          </w:p>
        </w:tc>
        <w:tc>
          <w:tcPr>
            <w:tcW w:w="6026" w:type="dxa"/>
            <w:noWrap w:val="0"/>
            <w:vAlign w:val="center"/>
          </w:tcPr>
          <w:p w14:paraId="7E12A87B">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（1）联合体参加询比的，询比文件获取手续由联合体中任一成员单位办理均可。</w:t>
            </w:r>
          </w:p>
          <w:p w14:paraId="64D469FB">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（2）联合体参加询比的须提供联合协议（见响应文件格式），相关证明材料由供应商根据联合协议分工情况及询比文件要求提供。</w:t>
            </w:r>
          </w:p>
          <w:p w14:paraId="40EA3DD7">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（3）联合体各成员单位均须提供营业执照（或事业单位法人登记证书）、税务登记证和无重大违法记录声明函、无不良信用记录声明函。</w:t>
            </w:r>
            <w:r>
              <w:rPr>
                <w:rFonts w:hint="eastAsia" w:ascii="宋体" w:cs="宋体"/>
                <w:bCs w:val="0"/>
                <w:color w:val="auto"/>
                <w:sz w:val="24"/>
                <w:szCs w:val="24"/>
                <w:highlight w:val="none"/>
              </w:rPr>
              <w:t>注：</w:t>
            </w:r>
            <w:r>
              <w:rPr>
                <w:rFonts w:hint="eastAsia" w:ascii="宋体" w:cs="宋体"/>
                <w:b w:val="0"/>
                <w:color w:val="auto"/>
                <w:sz w:val="24"/>
                <w:szCs w:val="24"/>
                <w:highlight w:val="none"/>
              </w:rPr>
              <w:t>已办理“三证合一”登记的，响应文件中提供营业执照（或事业单位法人登记证书）扫描件即可。</w:t>
            </w:r>
          </w:p>
          <w:p w14:paraId="0772FA4E">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（4）关于联合体缴纳</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（如有）：为简化评审现场</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查询、后期</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退还及合同备案清算手续，</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建议由联合体牵头人足额缴纳至本项目</w:t>
            </w:r>
            <w:r>
              <w:rPr>
                <w:rFonts w:hint="eastAsia" w:ascii="宋体" w:cs="宋体"/>
                <w:b w:val="0"/>
                <w:color w:val="auto"/>
                <w:sz w:val="24"/>
                <w:szCs w:val="24"/>
                <w:highlight w:val="none"/>
                <w:lang w:eastAsia="zh-CN"/>
              </w:rPr>
              <w:t>询比保证金</w:t>
            </w:r>
            <w:r>
              <w:rPr>
                <w:rFonts w:hint="eastAsia" w:ascii="宋体" w:cs="宋体"/>
                <w:b w:val="0"/>
                <w:color w:val="auto"/>
                <w:sz w:val="24"/>
                <w:szCs w:val="24"/>
                <w:highlight w:val="none"/>
              </w:rPr>
              <w:t>账号。</w:t>
            </w:r>
          </w:p>
        </w:tc>
      </w:tr>
      <w:tr w14:paraId="05E1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5E2EC7DC">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35.2</w:t>
            </w:r>
          </w:p>
        </w:tc>
        <w:tc>
          <w:tcPr>
            <w:tcW w:w="1723" w:type="dxa"/>
            <w:noWrap w:val="0"/>
            <w:vAlign w:val="center"/>
          </w:tcPr>
          <w:p w14:paraId="187D7B56">
            <w:pPr>
              <w:pStyle w:val="51"/>
              <w:widowControl w:val="0"/>
              <w:spacing w:before="0" w:beforeAutospacing="0" w:after="0" w:afterAutospacing="0"/>
              <w:jc w:val="both"/>
              <w:rPr>
                <w:rFonts w:hint="eastAsia" w:ascii="宋体" w:cs="宋体"/>
                <w:color w:val="auto"/>
                <w:sz w:val="24"/>
                <w:szCs w:val="24"/>
                <w:highlight w:val="none"/>
              </w:rPr>
            </w:pPr>
            <w:r>
              <w:rPr>
                <w:rFonts w:hint="eastAsia" w:ascii="宋体" w:cs="宋体"/>
                <w:b w:val="0"/>
                <w:bCs w:val="0"/>
                <w:color w:val="auto"/>
                <w:sz w:val="24"/>
                <w:szCs w:val="24"/>
                <w:highlight w:val="none"/>
              </w:rPr>
              <w:t>社保纳税证明材料（如有）</w:t>
            </w:r>
          </w:p>
        </w:tc>
        <w:tc>
          <w:tcPr>
            <w:tcW w:w="6026" w:type="dxa"/>
            <w:noWrap w:val="0"/>
            <w:vAlign w:val="center"/>
          </w:tcPr>
          <w:p w14:paraId="199FD8A8">
            <w:pPr>
              <w:pStyle w:val="51"/>
              <w:widowControl w:val="0"/>
              <w:spacing w:before="0" w:beforeAutospacing="0" w:after="0" w:afterAutospacing="0"/>
              <w:jc w:val="both"/>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本项目询比文件中要求提供的社保证明材料为下述形式之一（响应文件中须提供扫描件）：</w:t>
            </w:r>
          </w:p>
          <w:p w14:paraId="58735A2A">
            <w:pPr>
              <w:pStyle w:val="51"/>
              <w:widowControl w:val="0"/>
              <w:spacing w:before="0" w:beforeAutospacing="0" w:after="0" w:afterAutospacing="0"/>
              <w:jc w:val="both"/>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（1）社保局官方网站查询的缴费记录截图；</w:t>
            </w:r>
          </w:p>
          <w:p w14:paraId="2CC09263">
            <w:pPr>
              <w:pStyle w:val="51"/>
              <w:widowControl w:val="0"/>
              <w:spacing w:before="0" w:beforeAutospacing="0" w:after="0" w:afterAutospacing="0"/>
              <w:jc w:val="both"/>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（2）社保局的书面证明材料；</w:t>
            </w:r>
          </w:p>
          <w:p w14:paraId="0EBC4FAD">
            <w:pPr>
              <w:pStyle w:val="51"/>
              <w:widowControl w:val="0"/>
              <w:spacing w:before="0" w:beforeAutospacing="0" w:after="0" w:afterAutospacing="0"/>
              <w:jc w:val="both"/>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（3）经供应商委托的第三方人力资源采购机构或与供应商有直接隶属关系的机构可以代缴社保，但须提供有关证明材料并经询比小组确认。</w:t>
            </w:r>
          </w:p>
          <w:p w14:paraId="3F7B07FC">
            <w:pPr>
              <w:pStyle w:val="51"/>
              <w:widowControl w:val="0"/>
              <w:spacing w:before="0" w:beforeAutospacing="0" w:after="0" w:afterAutospacing="0"/>
              <w:jc w:val="both"/>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）其他经询比小组认可的证明材料。</w:t>
            </w:r>
          </w:p>
          <w:p w14:paraId="5AD7F44E">
            <w:pPr>
              <w:adjustRightInd w:val="0"/>
              <w:snapToGrid w:val="0"/>
              <w:spacing w:line="240" w:lineRule="auto"/>
              <w:jc w:val="left"/>
              <w:rPr>
                <w:rFonts w:hint="eastAsia" w:ascii="宋体" w:hAnsi="宋体" w:cs="宋体"/>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）法定代表人参与项目的，无需提供社保证明材料，提供身份证明材料即可。</w:t>
            </w:r>
          </w:p>
        </w:tc>
      </w:tr>
      <w:tr w14:paraId="3A27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727F5061">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35.3</w:t>
            </w:r>
          </w:p>
        </w:tc>
        <w:tc>
          <w:tcPr>
            <w:tcW w:w="1723" w:type="dxa"/>
            <w:noWrap w:val="0"/>
            <w:vAlign w:val="center"/>
          </w:tcPr>
          <w:p w14:paraId="5678BB98">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本项目提供除电子版询比文件以外的其他资料</w:t>
            </w:r>
          </w:p>
        </w:tc>
        <w:tc>
          <w:tcPr>
            <w:tcW w:w="6026" w:type="dxa"/>
            <w:noWrap w:val="0"/>
            <w:vAlign w:val="center"/>
          </w:tcPr>
          <w:p w14:paraId="47DC24EE">
            <w:pPr>
              <w:rPr>
                <w:rFonts w:hint="eastAsia" w:ascii="宋体"/>
                <w:color w:val="auto"/>
                <w:sz w:val="24"/>
                <w:szCs w:val="24"/>
                <w:highlight w:val="none"/>
                <w:u w:val="single"/>
              </w:rPr>
            </w:pPr>
            <w:r>
              <w:rPr>
                <w:rFonts w:ascii="宋体" w:cs="宋体"/>
                <w:color w:val="auto"/>
                <w:sz w:val="24"/>
                <w:szCs w:val="24"/>
                <w:highlight w:val="none"/>
              </w:rPr>
              <w:sym w:font="Wingdings" w:char="F0FE"/>
            </w:r>
            <w:r>
              <w:rPr>
                <w:rFonts w:hint="eastAsia" w:ascii="宋体"/>
                <w:color w:val="auto"/>
                <w:sz w:val="24"/>
                <w:szCs w:val="24"/>
                <w:highlight w:val="none"/>
              </w:rPr>
              <w:t>无   □图纸   □光盘   □</w:t>
            </w:r>
            <w:r>
              <w:rPr>
                <w:rFonts w:hint="eastAsia" w:ascii="宋体"/>
                <w:color w:val="auto"/>
                <w:sz w:val="24"/>
                <w:szCs w:val="24"/>
                <w:highlight w:val="none"/>
                <w:u w:val="single"/>
              </w:rPr>
              <w:t xml:space="preserve">    </w:t>
            </w:r>
          </w:p>
          <w:p w14:paraId="6CCF11A6">
            <w:pPr>
              <w:rPr>
                <w:rFonts w:hint="eastAsia" w:ascii="宋体" w:cs="宋体"/>
                <w:bCs/>
                <w:color w:val="auto"/>
                <w:sz w:val="24"/>
                <w:szCs w:val="24"/>
                <w:highlight w:val="none"/>
              </w:rPr>
            </w:pPr>
            <w:r>
              <w:rPr>
                <w:rFonts w:hint="eastAsia" w:ascii="宋体"/>
                <w:bCs/>
                <w:color w:val="auto"/>
                <w:sz w:val="24"/>
                <w:szCs w:val="24"/>
                <w:highlight w:val="none"/>
              </w:rPr>
              <w:t>获取方式：上述资料请供应商在获取询比文件的同时下载本项目附件。</w:t>
            </w:r>
          </w:p>
        </w:tc>
      </w:tr>
      <w:tr w14:paraId="3994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7" w:type="dxa"/>
            <w:noWrap w:val="0"/>
            <w:vAlign w:val="center"/>
          </w:tcPr>
          <w:p w14:paraId="0799EE7C">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35.4</w:t>
            </w:r>
          </w:p>
        </w:tc>
        <w:tc>
          <w:tcPr>
            <w:tcW w:w="1723" w:type="dxa"/>
            <w:noWrap w:val="0"/>
            <w:vAlign w:val="center"/>
          </w:tcPr>
          <w:p w14:paraId="7B6C100D">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重要提示</w:t>
            </w:r>
          </w:p>
        </w:tc>
        <w:tc>
          <w:tcPr>
            <w:tcW w:w="6026" w:type="dxa"/>
            <w:noWrap w:val="0"/>
            <w:vAlign w:val="center"/>
          </w:tcPr>
          <w:p w14:paraId="5AEA4F97">
            <w:pPr>
              <w:rPr>
                <w:rFonts w:hint="eastAsia" w:ascii="宋体" w:cs="宋体"/>
                <w:bCs/>
                <w:color w:val="auto"/>
                <w:sz w:val="24"/>
                <w:szCs w:val="24"/>
                <w:highlight w:val="none"/>
              </w:rPr>
            </w:pPr>
            <w:r>
              <w:rPr>
                <w:rFonts w:hint="eastAsia" w:ascii="宋体" w:cs="宋体"/>
                <w:bCs/>
                <w:color w:val="auto"/>
                <w:sz w:val="24"/>
                <w:szCs w:val="24"/>
                <w:highlight w:val="none"/>
              </w:rPr>
              <w:t>（1）</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应在规定期限内领取《成交通知书》，若</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未在规定期限内领取《成交通知书》，采购人有权取消</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成交资格，并将相关违约行为报送监管部门，实施信用惩戒；</w:t>
            </w:r>
          </w:p>
          <w:p w14:paraId="1E56CCD7">
            <w:pPr>
              <w:rPr>
                <w:rFonts w:hint="eastAsia" w:ascii="宋体" w:cs="宋体"/>
                <w:bCs/>
                <w:color w:val="auto"/>
                <w:sz w:val="24"/>
                <w:szCs w:val="24"/>
                <w:highlight w:val="none"/>
              </w:rPr>
            </w:pPr>
            <w:r>
              <w:rPr>
                <w:rFonts w:hint="eastAsia" w:ascii="宋体" w:cs="宋体"/>
                <w:bCs/>
                <w:color w:val="auto"/>
                <w:sz w:val="24"/>
                <w:szCs w:val="24"/>
                <w:highlight w:val="none"/>
              </w:rPr>
              <w:t>（2）</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应在规定期限内提交履约担保并与采购人签订合同，若</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未能在规定期限内提交履约担保或签订合同，采购人有权取消</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成交资格，并将相关违约行为报送监管部门，实施信用惩戒；</w:t>
            </w:r>
          </w:p>
          <w:p w14:paraId="367DE78F">
            <w:pPr>
              <w:rPr>
                <w:rFonts w:hint="eastAsia" w:ascii="宋体" w:cs="宋体"/>
                <w:bCs/>
                <w:color w:val="auto"/>
                <w:sz w:val="24"/>
                <w:szCs w:val="24"/>
                <w:highlight w:val="none"/>
              </w:rPr>
            </w:pPr>
            <w:r>
              <w:rPr>
                <w:rFonts w:hint="eastAsia" w:ascii="宋体" w:cs="宋体"/>
                <w:bCs/>
                <w:color w:val="auto"/>
                <w:sz w:val="24"/>
                <w:szCs w:val="24"/>
                <w:highlight w:val="none"/>
              </w:rPr>
              <w:t>（3）合同签订后，</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存在规定时间内不组织人员进场开工，不履行合同义务等情况，采购人有权解除合同，并追究违约责任，同时将相关违约行为报送监管部门，记不良行为记录，实施信用惩戒；</w:t>
            </w:r>
          </w:p>
          <w:p w14:paraId="6C318D39">
            <w:pPr>
              <w:rPr>
                <w:rFonts w:hint="eastAsia" w:ascii="宋体" w:cs="宋体"/>
                <w:bCs/>
                <w:color w:val="auto"/>
                <w:sz w:val="24"/>
                <w:szCs w:val="24"/>
                <w:highlight w:val="none"/>
              </w:rPr>
            </w:pPr>
            <w:r>
              <w:rPr>
                <w:rFonts w:hint="eastAsia" w:ascii="宋体" w:cs="宋体"/>
                <w:bCs/>
                <w:color w:val="auto"/>
                <w:sz w:val="24"/>
                <w:szCs w:val="24"/>
                <w:highlight w:val="none"/>
              </w:rPr>
              <w:t>（4）</w:t>
            </w:r>
            <w:r>
              <w:rPr>
                <w:rFonts w:hint="eastAsia" w:ascii="宋体" w:cs="宋体"/>
                <w:bCs/>
                <w:color w:val="auto"/>
                <w:sz w:val="24"/>
                <w:szCs w:val="24"/>
                <w:highlight w:val="none"/>
                <w:lang w:eastAsia="zh-CN"/>
              </w:rPr>
              <w:t>成交供应商</w:t>
            </w:r>
            <w:r>
              <w:rPr>
                <w:rFonts w:hint="eastAsia" w:ascii="宋体" w:cs="宋体"/>
                <w:bCs/>
                <w:color w:val="auto"/>
                <w:sz w:val="24"/>
                <w:szCs w:val="24"/>
                <w:highlight w:val="none"/>
              </w:rPr>
              <w:t>成交后被监管部门查实存在违法行为，不满足成交条件的，由采购人取消其成交资格，并做好项目后续工作；</w:t>
            </w:r>
          </w:p>
          <w:p w14:paraId="4047F6A4">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（5）</w:t>
            </w:r>
            <w:r>
              <w:rPr>
                <w:rFonts w:hint="eastAsia" w:ascii="宋体" w:cs="宋体"/>
                <w:b w:val="0"/>
                <w:color w:val="auto"/>
                <w:sz w:val="24"/>
                <w:szCs w:val="24"/>
                <w:highlight w:val="none"/>
                <w:lang w:eastAsia="zh-CN"/>
              </w:rPr>
              <w:t>成交供应商</w:t>
            </w:r>
            <w:r>
              <w:rPr>
                <w:rFonts w:hint="eastAsia" w:ascii="宋体" w:cs="宋体"/>
                <w:b w:val="0"/>
                <w:color w:val="auto"/>
                <w:sz w:val="24"/>
                <w:szCs w:val="24"/>
                <w:highlight w:val="none"/>
              </w:rPr>
              <w:t>在成交项目发生投诉、信访举报案件、履约存在争议时，拒绝协助配合执法部门调查案件的，采购人可以取消其成交资格或解除合同，并追究其违约责任。</w:t>
            </w:r>
          </w:p>
        </w:tc>
      </w:tr>
      <w:tr w14:paraId="3DB3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26ADFE2D">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35.5</w:t>
            </w:r>
          </w:p>
        </w:tc>
        <w:tc>
          <w:tcPr>
            <w:tcW w:w="1723" w:type="dxa"/>
            <w:noWrap w:val="0"/>
            <w:vAlign w:val="center"/>
          </w:tcPr>
          <w:p w14:paraId="7CE0FB9B">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解释权</w:t>
            </w:r>
          </w:p>
        </w:tc>
        <w:tc>
          <w:tcPr>
            <w:tcW w:w="6026" w:type="dxa"/>
            <w:noWrap w:val="0"/>
            <w:vAlign w:val="center"/>
          </w:tcPr>
          <w:p w14:paraId="33B3CFE2">
            <w:pPr>
              <w:rPr>
                <w:rFonts w:hint="eastAsia" w:ascii="宋体" w:cs="宋体"/>
                <w:bCs/>
                <w:color w:val="auto"/>
                <w:sz w:val="24"/>
                <w:szCs w:val="24"/>
                <w:highlight w:val="none"/>
              </w:rPr>
            </w:pPr>
            <w:r>
              <w:rPr>
                <w:rFonts w:hint="eastAsia" w:ascii="宋体" w:cs="宋体"/>
                <w:bCs/>
                <w:color w:val="auto"/>
                <w:sz w:val="24"/>
                <w:szCs w:val="24"/>
                <w:highlight w:val="none"/>
              </w:rPr>
              <w:t>（1）构成本询比文件的各个组成文件应互为解释，互为说明；</w:t>
            </w:r>
          </w:p>
          <w:p w14:paraId="02231A0D">
            <w:pPr>
              <w:rPr>
                <w:rFonts w:hint="eastAsia" w:ascii="宋体" w:cs="宋体"/>
                <w:bCs/>
                <w:color w:val="auto"/>
                <w:sz w:val="24"/>
                <w:szCs w:val="24"/>
                <w:highlight w:val="none"/>
              </w:rPr>
            </w:pPr>
            <w:r>
              <w:rPr>
                <w:rFonts w:hint="eastAsia" w:ascii="宋体" w:cs="宋体"/>
                <w:bCs/>
                <w:color w:val="auto"/>
                <w:sz w:val="24"/>
                <w:szCs w:val="24"/>
                <w:highlight w:val="none"/>
              </w:rPr>
              <w:t>（2）同一组成文件中就同一事项的规定或约定不一致的，以编排顺序在后者为准；</w:t>
            </w:r>
          </w:p>
          <w:p w14:paraId="7373245B">
            <w:pPr>
              <w:rPr>
                <w:rFonts w:hint="eastAsia" w:ascii="宋体" w:cs="宋体"/>
                <w:bCs/>
                <w:color w:val="auto"/>
                <w:sz w:val="24"/>
                <w:szCs w:val="24"/>
                <w:highlight w:val="none"/>
              </w:rPr>
            </w:pPr>
            <w:r>
              <w:rPr>
                <w:rFonts w:hint="eastAsia" w:ascii="宋体" w:cs="宋体"/>
                <w:bCs/>
                <w:color w:val="auto"/>
                <w:sz w:val="24"/>
                <w:szCs w:val="24"/>
                <w:highlight w:val="none"/>
              </w:rPr>
              <w:t>（3）如有不明确或不一致，构成合同文件组成内容的，以合同文件约定内容为准，且以专用合同条款约定的合同文件优先顺序解释；</w:t>
            </w:r>
          </w:p>
          <w:p w14:paraId="12F99624">
            <w:pPr>
              <w:rPr>
                <w:rFonts w:hint="eastAsia" w:ascii="宋体" w:cs="宋体"/>
                <w:bCs/>
                <w:color w:val="auto"/>
                <w:sz w:val="24"/>
                <w:szCs w:val="24"/>
                <w:highlight w:val="none"/>
              </w:rPr>
            </w:pPr>
            <w:r>
              <w:rPr>
                <w:rFonts w:hint="eastAsia" w:ascii="宋体" w:cs="宋体"/>
                <w:bCs/>
                <w:color w:val="auto"/>
                <w:sz w:val="24"/>
                <w:szCs w:val="24"/>
                <w:highlight w:val="none"/>
              </w:rPr>
              <w:t>（4）除询比文件中有特别规定外，仅适用于询比及响应文件提交阶段的规定，按询比公告、询比邀请、供应商须知、评审方法和标准、响应文件格式的先后顺序解释；</w:t>
            </w:r>
          </w:p>
          <w:p w14:paraId="68831451">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（5）按本款前述规定仍不能形成结论的，由采购人负责解释。</w:t>
            </w:r>
          </w:p>
        </w:tc>
      </w:tr>
      <w:tr w14:paraId="0BE3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538B5FA2">
            <w:pPr>
              <w:pStyle w:val="53"/>
              <w:pBdr>
                <w:bottom w:val="none" w:color="auto" w:sz="0" w:space="0"/>
              </w:pBdr>
              <w:tabs>
                <w:tab w:val="clear" w:pos="4153"/>
                <w:tab w:val="clear" w:pos="8306"/>
              </w:tabs>
              <w:adjustRightInd/>
              <w:spacing w:line="240" w:lineRule="auto"/>
              <w:textAlignment w:val="auto"/>
              <w:rPr>
                <w:rFonts w:ascii="宋体" w:cs="宋体"/>
                <w:bCs/>
                <w:color w:val="auto"/>
                <w:szCs w:val="24"/>
                <w:highlight w:val="none"/>
              </w:rPr>
            </w:pPr>
            <w:r>
              <w:rPr>
                <w:rFonts w:hint="eastAsia" w:ascii="宋体" w:cs="宋体"/>
                <w:bCs/>
                <w:color w:val="auto"/>
                <w:szCs w:val="24"/>
                <w:highlight w:val="none"/>
              </w:rPr>
              <w:t>35.6</w:t>
            </w:r>
          </w:p>
        </w:tc>
        <w:tc>
          <w:tcPr>
            <w:tcW w:w="1723" w:type="dxa"/>
            <w:noWrap w:val="0"/>
            <w:vAlign w:val="center"/>
          </w:tcPr>
          <w:p w14:paraId="7E187688">
            <w:pPr>
              <w:pStyle w:val="51"/>
              <w:widowControl w:val="0"/>
              <w:spacing w:before="0" w:beforeAutospacing="0" w:after="0" w:afterAutospacing="0"/>
              <w:ind w:firstLine="240" w:firstLineChars="100"/>
              <w:jc w:val="both"/>
              <w:rPr>
                <w:rFonts w:hint="eastAsia" w:ascii="宋体" w:cs="宋体"/>
                <w:b w:val="0"/>
                <w:color w:val="auto"/>
                <w:sz w:val="24"/>
                <w:szCs w:val="24"/>
                <w:highlight w:val="none"/>
              </w:rPr>
            </w:pPr>
            <w:r>
              <w:rPr>
                <w:rFonts w:hint="eastAsia" w:ascii="宋体" w:hAnsi="宋体" w:cs="宋体"/>
                <w:b w:val="0"/>
                <w:bCs w:val="0"/>
                <w:color w:val="auto"/>
                <w:sz w:val="24"/>
                <w:szCs w:val="24"/>
                <w:highlight w:val="none"/>
              </w:rPr>
              <w:t>特别提醒</w:t>
            </w:r>
          </w:p>
        </w:tc>
        <w:tc>
          <w:tcPr>
            <w:tcW w:w="6026" w:type="dxa"/>
            <w:noWrap w:val="0"/>
            <w:vAlign w:val="center"/>
          </w:tcPr>
          <w:p w14:paraId="01EC60F2">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hAnsi="宋体" w:cs="宋体"/>
                <w:b w:val="0"/>
                <w:bCs w:val="0"/>
                <w:color w:val="auto"/>
                <w:sz w:val="24"/>
                <w:szCs w:val="24"/>
                <w:highlight w:val="none"/>
                <w:lang w:val="zh-CN"/>
              </w:rPr>
              <w:t>本次询比如发生其他不可抗力的因素而终止，不管是在询比前或询比后，采购人和采购代理机构将不承担任何供应商的任何费用。供应商产生的任何费用均由供应商自行承担。</w:t>
            </w:r>
          </w:p>
        </w:tc>
      </w:tr>
      <w:tr w14:paraId="147F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4CB58E7F">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35.7</w:t>
            </w:r>
          </w:p>
        </w:tc>
        <w:tc>
          <w:tcPr>
            <w:tcW w:w="1723" w:type="dxa"/>
            <w:noWrap w:val="0"/>
            <w:vAlign w:val="center"/>
          </w:tcPr>
          <w:p w14:paraId="19538B85">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特殊情形处理方式</w:t>
            </w:r>
          </w:p>
        </w:tc>
        <w:tc>
          <w:tcPr>
            <w:tcW w:w="6026" w:type="dxa"/>
            <w:noWrap w:val="0"/>
            <w:vAlign w:val="center"/>
          </w:tcPr>
          <w:p w14:paraId="71014FB9">
            <w:pPr>
              <w:rPr>
                <w:rFonts w:hint="eastAsia" w:ascii="宋体" w:cs="宋体"/>
                <w:bCs/>
                <w:color w:val="auto"/>
                <w:sz w:val="24"/>
                <w:szCs w:val="24"/>
                <w:highlight w:val="none"/>
                <w:lang w:val="en-US" w:eastAsia="zh-CN"/>
              </w:rPr>
            </w:pPr>
            <w:r>
              <w:rPr>
                <w:rFonts w:hint="eastAsia" w:ascii="宋体" w:hAnsi="Calibri" w:eastAsia="宋体" w:cs="宋体"/>
                <w:bCs/>
                <w:color w:val="auto"/>
                <w:kern w:val="2"/>
                <w:sz w:val="24"/>
                <w:szCs w:val="24"/>
                <w:highlight w:val="none"/>
                <w:lang w:val="en-US" w:eastAsia="zh-CN" w:bidi="ar-SA"/>
              </w:rPr>
              <w:t>(1)</w:t>
            </w:r>
            <w:r>
              <w:rPr>
                <w:rFonts w:hint="eastAsia" w:ascii="宋体" w:cs="宋体"/>
                <w:bCs/>
                <w:color w:val="auto"/>
                <w:sz w:val="24"/>
                <w:szCs w:val="24"/>
                <w:highlight w:val="none"/>
                <w:lang w:val="en-US" w:eastAsia="zh-CN"/>
              </w:rPr>
              <w:t>若采用竞争性采购方式的项目一次采购，递交响应文件的供应商不满3家的(采用谈判方式的除外)，采购活动应做流标处理;在采购过程中经评审后符合要求的供应商只有2家，且剩余2家供应商仍具有竞争性的，采购活动可以继续进行;采购过程中经评审后符合要求的供应商只有1家的，采购活动应做流标处理，重新开展采购活动。</w:t>
            </w:r>
          </w:p>
          <w:p w14:paraId="5C4B44A8">
            <w:pPr>
              <w:rPr>
                <w:rFonts w:hint="eastAsia" w:ascii="宋体" w:cs="宋体"/>
                <w:bCs/>
                <w:color w:val="auto"/>
                <w:sz w:val="24"/>
                <w:szCs w:val="24"/>
                <w:highlight w:val="none"/>
                <w:lang w:val="en-US" w:eastAsia="zh-CN"/>
              </w:rPr>
            </w:pPr>
            <w:r>
              <w:rPr>
                <w:rFonts w:hint="eastAsia" w:ascii="宋体" w:cs="宋体"/>
                <w:bCs/>
                <w:color w:val="auto"/>
                <w:sz w:val="24"/>
                <w:szCs w:val="24"/>
                <w:highlight w:val="none"/>
                <w:lang w:val="en-US" w:eastAsia="zh-CN"/>
              </w:rPr>
              <w:t>若经流标后的项目二次采购，递交响应文件或在采购过程中经评审后符合要求的供应商只有2家的，采购活动可按采购文件评审办法继续进行;递交响应文件或在采购过程中经评审后符合要求的供应商只有1家的，可直接采购或重新采购。</w:t>
            </w:r>
          </w:p>
          <w:p w14:paraId="53B13B3D">
            <w:pPr>
              <w:rPr>
                <w:rFonts w:hint="eastAsia" w:ascii="宋体" w:eastAsia="宋体" w:cs="宋体"/>
                <w:b w:val="0"/>
                <w:color w:val="auto"/>
                <w:sz w:val="24"/>
                <w:szCs w:val="24"/>
                <w:highlight w:val="none"/>
                <w:lang w:val="en-US" w:eastAsia="zh-CN"/>
              </w:rPr>
            </w:pPr>
            <w:r>
              <w:rPr>
                <w:rFonts w:hint="eastAsia" w:ascii="宋体" w:cs="宋体"/>
                <w:bCs/>
                <w:color w:val="auto"/>
                <w:sz w:val="24"/>
                <w:szCs w:val="24"/>
                <w:highlight w:val="none"/>
                <w:lang w:val="en-US" w:eastAsia="zh-CN"/>
              </w:rPr>
              <w:t>(2)因供应商对成交结果提出异议、成交供应商无正当理由拒绝签订合同、成交供应商在签订合同时向采购人提出附加条件或者不按照采购文件要求递交履约保证金等导致采购人变更成交结果的，采购人应按照规定的程序重新选择确定成交供应商或重新进行采购，并进行公示并公告。</w:t>
            </w:r>
          </w:p>
        </w:tc>
      </w:tr>
      <w:tr w14:paraId="450D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19EA5661">
            <w:pPr>
              <w:pStyle w:val="53"/>
              <w:pBdr>
                <w:bottom w:val="none" w:color="auto" w:sz="0" w:space="0"/>
              </w:pBdr>
              <w:tabs>
                <w:tab w:val="clear" w:pos="4153"/>
                <w:tab w:val="clear" w:pos="8306"/>
              </w:tabs>
              <w:adjustRightInd/>
              <w:spacing w:line="240" w:lineRule="auto"/>
              <w:textAlignment w:val="auto"/>
              <w:rPr>
                <w:rFonts w:hint="eastAsia" w:ascii="宋体" w:eastAsia="宋体" w:cs="宋体"/>
                <w:bCs/>
                <w:color w:val="auto"/>
                <w:szCs w:val="24"/>
                <w:highlight w:val="none"/>
                <w:lang w:eastAsia="zh-CN"/>
              </w:rPr>
            </w:pPr>
            <w:r>
              <w:rPr>
                <w:rFonts w:hint="eastAsia" w:ascii="宋体" w:cs="宋体"/>
                <w:bCs/>
                <w:color w:val="auto"/>
                <w:szCs w:val="24"/>
                <w:highlight w:val="none"/>
              </w:rPr>
              <w:t>35.</w:t>
            </w:r>
            <w:r>
              <w:rPr>
                <w:rFonts w:hint="eastAsia" w:ascii="宋体" w:cs="宋体"/>
                <w:bCs/>
                <w:color w:val="auto"/>
                <w:szCs w:val="24"/>
                <w:highlight w:val="none"/>
                <w:lang w:val="en-US" w:eastAsia="zh-CN"/>
              </w:rPr>
              <w:t>8</w:t>
            </w:r>
          </w:p>
        </w:tc>
        <w:tc>
          <w:tcPr>
            <w:tcW w:w="1723" w:type="dxa"/>
            <w:noWrap w:val="0"/>
            <w:vAlign w:val="center"/>
          </w:tcPr>
          <w:p w14:paraId="52115AEE">
            <w:pPr>
              <w:pStyle w:val="51"/>
              <w:widowControl w:val="0"/>
              <w:spacing w:before="0" w:beforeAutospacing="0" w:after="0" w:afterAutospacing="0"/>
              <w:jc w:val="both"/>
              <w:rPr>
                <w:rFonts w:hint="eastAsia" w:ascii="宋体" w:cs="宋体"/>
                <w:b w:val="0"/>
                <w:color w:val="auto"/>
                <w:sz w:val="24"/>
                <w:szCs w:val="24"/>
                <w:highlight w:val="none"/>
              </w:rPr>
            </w:pPr>
            <w:r>
              <w:rPr>
                <w:rFonts w:hint="eastAsia" w:ascii="宋体" w:cs="宋体"/>
                <w:b w:val="0"/>
                <w:color w:val="auto"/>
                <w:sz w:val="24"/>
                <w:szCs w:val="24"/>
                <w:highlight w:val="none"/>
              </w:rPr>
              <w:t>其他补充说明</w:t>
            </w:r>
          </w:p>
        </w:tc>
        <w:tc>
          <w:tcPr>
            <w:tcW w:w="6026" w:type="dxa"/>
            <w:noWrap w:val="0"/>
            <w:vAlign w:val="center"/>
          </w:tcPr>
          <w:p w14:paraId="01147D57">
            <w:pPr>
              <w:pStyle w:val="51"/>
              <w:widowControl w:val="0"/>
              <w:spacing w:before="0" w:beforeAutospacing="0" w:after="0" w:afterAutospacing="0"/>
              <w:jc w:val="both"/>
              <w:rPr>
                <w:rFonts w:hint="eastAsia" w:ascii="宋体" w:cs="宋体"/>
                <w:b w:val="0"/>
                <w:color w:val="auto"/>
                <w:sz w:val="24"/>
                <w:szCs w:val="24"/>
                <w:highlight w:val="none"/>
                <w:lang w:val="en-US" w:eastAsia="zh-CN"/>
              </w:rPr>
            </w:pPr>
            <w:r>
              <w:rPr>
                <w:rFonts w:hint="eastAsia" w:ascii="宋体" w:cs="宋体"/>
                <w:b w:val="0"/>
                <w:color w:val="auto"/>
                <w:sz w:val="24"/>
                <w:szCs w:val="24"/>
                <w:highlight w:val="none"/>
                <w:lang w:val="en-US" w:eastAsia="zh-CN"/>
              </w:rPr>
              <w:t>/</w:t>
            </w:r>
          </w:p>
        </w:tc>
      </w:tr>
    </w:tbl>
    <w:p w14:paraId="027F0D36">
      <w:pPr>
        <w:spacing w:line="360" w:lineRule="auto"/>
        <w:jc w:val="center"/>
        <w:outlineLvl w:val="9"/>
        <w:rPr>
          <w:rFonts w:hint="eastAsia" w:ascii="宋体"/>
          <w:b/>
          <w:color w:val="auto"/>
          <w:sz w:val="24"/>
          <w:highlight w:val="none"/>
        </w:rPr>
      </w:pPr>
      <w:r>
        <w:rPr>
          <w:rFonts w:hint="eastAsia" w:ascii="宋体"/>
          <w:b/>
          <w:color w:val="auto"/>
          <w:sz w:val="28"/>
          <w:highlight w:val="none"/>
        </w:rPr>
        <w:br w:type="page"/>
      </w:r>
      <w:r>
        <w:rPr>
          <w:rFonts w:hint="eastAsia" w:ascii="宋体"/>
          <w:b/>
          <w:color w:val="auto"/>
          <w:sz w:val="24"/>
          <w:highlight w:val="none"/>
        </w:rPr>
        <w:t>二、供应商须知正文</w:t>
      </w:r>
    </w:p>
    <w:p w14:paraId="2E1100FE">
      <w:pPr>
        <w:spacing w:line="360" w:lineRule="auto"/>
        <w:ind w:firstLine="437"/>
        <w:outlineLvl w:val="9"/>
        <w:rPr>
          <w:rFonts w:hint="eastAsia" w:ascii="宋体" w:hAnsi="宋体" w:cs="宋体"/>
          <w:b/>
          <w:color w:val="auto"/>
          <w:sz w:val="24"/>
          <w:szCs w:val="24"/>
          <w:highlight w:val="none"/>
        </w:rPr>
      </w:pPr>
      <w:r>
        <w:rPr>
          <w:rFonts w:hint="eastAsia" w:ascii="宋体" w:hAnsi="宋体" w:cs="宋体"/>
          <w:b/>
          <w:color w:val="auto"/>
          <w:sz w:val="24"/>
          <w:szCs w:val="24"/>
          <w:highlight w:val="none"/>
        </w:rPr>
        <w:t>1.适用范围</w:t>
      </w:r>
    </w:p>
    <w:p w14:paraId="524B2F35">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1.1本询比文件仅适用于本次询比所述的服务项目采购。</w:t>
      </w:r>
    </w:p>
    <w:p w14:paraId="688BC3A4">
      <w:pPr>
        <w:spacing w:line="360" w:lineRule="auto"/>
        <w:ind w:firstLine="437"/>
        <w:outlineLvl w:val="9"/>
        <w:rPr>
          <w:rFonts w:hint="eastAsia" w:ascii="宋体" w:hAnsi="宋体" w:cs="宋体"/>
          <w:b/>
          <w:color w:val="auto"/>
          <w:sz w:val="24"/>
          <w:szCs w:val="24"/>
          <w:highlight w:val="none"/>
        </w:rPr>
      </w:pPr>
      <w:r>
        <w:rPr>
          <w:rFonts w:hint="eastAsia" w:ascii="宋体" w:hAnsi="宋体" w:cs="宋体"/>
          <w:b/>
          <w:color w:val="auto"/>
          <w:sz w:val="24"/>
          <w:szCs w:val="24"/>
          <w:highlight w:val="none"/>
        </w:rPr>
        <w:t>2.定义</w:t>
      </w:r>
    </w:p>
    <w:p w14:paraId="72960F5F">
      <w:pPr>
        <w:spacing w:line="360" w:lineRule="auto"/>
        <w:ind w:firstLine="435"/>
        <w:outlineLvl w:val="9"/>
        <w:rPr>
          <w:rFonts w:ascii="宋体" w:hAnsi="宋体" w:cs="@仿宋_GB2312"/>
          <w:color w:val="auto"/>
          <w:sz w:val="24"/>
          <w:szCs w:val="20"/>
          <w:highlight w:val="none"/>
        </w:rPr>
      </w:pPr>
      <w:r>
        <w:rPr>
          <w:rFonts w:hint="eastAsia" w:ascii="宋体" w:hAnsi="宋体" w:cs="宋体"/>
          <w:color w:val="auto"/>
          <w:sz w:val="24"/>
          <w:szCs w:val="24"/>
          <w:highlight w:val="none"/>
        </w:rPr>
        <w:t>2.1</w:t>
      </w:r>
      <w:r>
        <w:rPr>
          <w:rFonts w:hint="eastAsia" w:ascii="宋体" w:hAnsi="宋体" w:cs="@仿宋_GB2312"/>
          <w:color w:val="auto"/>
          <w:sz w:val="24"/>
          <w:szCs w:val="20"/>
          <w:highlight w:val="none"/>
        </w:rPr>
        <w:t>服务：系指除货物和工程以外的其他采购对象，包括咨询、调研、评估、规划、设计、监理、审计、保险、租赁、印刷、维修、物业管理等。</w:t>
      </w:r>
    </w:p>
    <w:p w14:paraId="3C755321">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2.2时限（年份、月份等）计算：系指从询比之日向前追溯X年/月（“X”为“一”及以后整数）起算。</w:t>
      </w:r>
    </w:p>
    <w:p w14:paraId="7C6862B3">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2.3业绩：业绩系指符合本询比文件规定的与最终用户签订的合同或询比文件要求的相关证明。供应商与其关联公司（如母公司、控股公司、分公司、子公司、同一法定代表人的公司等）之间签订的合同，均不予认可。</w:t>
      </w:r>
    </w:p>
    <w:p w14:paraId="7FE91505">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3.采购人、采购代理机构及供应商</w:t>
      </w:r>
    </w:p>
    <w:p w14:paraId="79C12CBD">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3.1采购人：是指依法开展本采购活动的国家机关、事业单位、团体组织以及其他主体。本项目的采购人见</w:t>
      </w:r>
      <w:r>
        <w:rPr>
          <w:rFonts w:hint="eastAsia" w:ascii="宋体" w:hAnsi="宋体" w:cs="宋体"/>
          <w:color w:val="auto"/>
          <w:sz w:val="24"/>
          <w:szCs w:val="24"/>
          <w:highlight w:val="none"/>
          <w:u w:val="single"/>
        </w:rPr>
        <w:t>供应商须知前附表</w:t>
      </w:r>
      <w:r>
        <w:rPr>
          <w:rFonts w:hint="eastAsia" w:ascii="宋体" w:hAnsi="宋体" w:cs="宋体"/>
          <w:color w:val="auto"/>
          <w:sz w:val="24"/>
          <w:szCs w:val="24"/>
          <w:highlight w:val="none"/>
        </w:rPr>
        <w:t>。</w:t>
      </w:r>
    </w:p>
    <w:p w14:paraId="73833387">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3.2采购代理机构：是指从事采购代理业务的社会中介机构。本项目的采购代理机构见</w:t>
      </w:r>
      <w:r>
        <w:rPr>
          <w:rFonts w:hint="eastAsia" w:ascii="宋体" w:hAnsi="宋体" w:cs="宋体"/>
          <w:color w:val="auto"/>
          <w:sz w:val="24"/>
          <w:szCs w:val="24"/>
          <w:highlight w:val="none"/>
          <w:u w:val="single"/>
        </w:rPr>
        <w:t>供应商须知前附表</w:t>
      </w:r>
      <w:r>
        <w:rPr>
          <w:rFonts w:hint="eastAsia" w:ascii="宋体" w:hAnsi="宋体" w:cs="宋体"/>
          <w:color w:val="auto"/>
          <w:sz w:val="24"/>
          <w:szCs w:val="24"/>
          <w:highlight w:val="none"/>
        </w:rPr>
        <w:t>。</w:t>
      </w:r>
    </w:p>
    <w:p w14:paraId="61FD058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3.3采购监督管理部门：</w:t>
      </w:r>
      <w:r>
        <w:rPr>
          <w:rFonts w:hint="eastAsia" w:ascii="宋体" w:hAnsi="宋体" w:eastAsia="宋体" w:cs="宋体"/>
          <w:color w:val="auto"/>
          <w:sz w:val="24"/>
          <w:szCs w:val="24"/>
          <w:highlight w:val="none"/>
          <w:lang w:eastAsia="zh-CN"/>
        </w:rPr>
        <w:t>本项目采购监管部门为采购人相关监督采购部门</w:t>
      </w:r>
      <w:r>
        <w:rPr>
          <w:rFonts w:hint="eastAsia" w:ascii="宋体" w:hAnsi="宋体" w:eastAsia="宋体" w:cs="宋体"/>
          <w:color w:val="auto"/>
          <w:sz w:val="24"/>
          <w:szCs w:val="24"/>
          <w:highlight w:val="none"/>
        </w:rPr>
        <w:t>。</w:t>
      </w:r>
    </w:p>
    <w:p w14:paraId="05BD765C">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3.4</w:t>
      </w:r>
      <w:r>
        <w:rPr>
          <w:rFonts w:hint="eastAsia" w:ascii="宋体" w:hAnsi="宋体"/>
          <w:color w:val="auto"/>
          <w:sz w:val="24"/>
          <w:highlight w:val="none"/>
        </w:rPr>
        <w:t>供应商</w:t>
      </w:r>
      <w:r>
        <w:rPr>
          <w:rFonts w:ascii="宋体" w:hAnsi="宋体"/>
          <w:color w:val="auto"/>
          <w:sz w:val="24"/>
          <w:highlight w:val="none"/>
        </w:rPr>
        <w:t>：是指向采购人提供货物、工程或者服务的法人、非法人组织或者自然人。</w:t>
      </w:r>
      <w:r>
        <w:rPr>
          <w:rFonts w:hint="eastAsia" w:ascii="宋体" w:hAnsi="宋体"/>
          <w:color w:val="auto"/>
          <w:sz w:val="24"/>
          <w:highlight w:val="none"/>
        </w:rPr>
        <w:t>分支机构不得参加政府采购活动，但银行、保险、石油石化、电力、电信等特殊行业除外。</w:t>
      </w:r>
      <w:r>
        <w:rPr>
          <w:rFonts w:ascii="宋体" w:hAnsi="宋体"/>
          <w:color w:val="auto"/>
          <w:sz w:val="24"/>
          <w:highlight w:val="none"/>
        </w:rPr>
        <w:t>本项目的</w:t>
      </w:r>
      <w:r>
        <w:rPr>
          <w:rFonts w:hint="eastAsia" w:ascii="宋体" w:hAnsi="宋体"/>
          <w:color w:val="auto"/>
          <w:sz w:val="24"/>
          <w:highlight w:val="none"/>
        </w:rPr>
        <w:t>供应商</w:t>
      </w:r>
      <w:r>
        <w:rPr>
          <w:rFonts w:ascii="宋体" w:hAnsi="宋体"/>
          <w:color w:val="auto"/>
          <w:sz w:val="24"/>
          <w:highlight w:val="none"/>
        </w:rPr>
        <w:t>须满足以下条件：</w:t>
      </w:r>
    </w:p>
    <w:p w14:paraId="53BD4887">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3.4.1</w:t>
      </w:r>
      <w:r>
        <w:rPr>
          <w:rFonts w:hint="eastAsia" w:ascii="宋体" w:hAnsi="宋体" w:eastAsia="宋体" w:cs="宋体"/>
          <w:color w:val="auto"/>
          <w:sz w:val="24"/>
          <w:szCs w:val="24"/>
          <w:highlight w:val="none"/>
          <w:lang w:eastAsia="zh-CN"/>
        </w:rPr>
        <w:t>供应商须具有独立承担民事责任能力的法人或其他组织</w:t>
      </w:r>
      <w:r>
        <w:rPr>
          <w:rFonts w:hint="eastAsia" w:ascii="宋体" w:hAnsi="宋体" w:cs="宋体"/>
          <w:color w:val="auto"/>
          <w:sz w:val="24"/>
          <w:szCs w:val="24"/>
          <w:highlight w:val="none"/>
        </w:rPr>
        <w:t>。</w:t>
      </w:r>
    </w:p>
    <w:p w14:paraId="17767EB2">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3.4.2以采购代理机构认可的方式获得了本项目的询比文件。</w:t>
      </w:r>
    </w:p>
    <w:p w14:paraId="1B9675AB">
      <w:pPr>
        <w:spacing w:line="360" w:lineRule="auto"/>
        <w:ind w:firstLine="435"/>
        <w:outlineLvl w:val="9"/>
        <w:rPr>
          <w:rFonts w:hint="eastAsia" w:ascii="宋体" w:hAnsi="宋体" w:cs="宋体"/>
          <w:color w:val="auto"/>
          <w:sz w:val="24"/>
          <w:szCs w:val="24"/>
          <w:highlight w:val="none"/>
        </w:rPr>
      </w:pPr>
      <w:r>
        <w:rPr>
          <w:rFonts w:hint="eastAsia" w:ascii="宋体" w:hAnsi="宋体" w:cs="宋体"/>
          <w:bCs/>
          <w:color w:val="auto"/>
          <w:sz w:val="24"/>
          <w:szCs w:val="24"/>
          <w:highlight w:val="none"/>
        </w:rPr>
        <w:t>3.5若询比公告中允许联合体参加询比，对联合体规定如下</w:t>
      </w:r>
      <w:r>
        <w:rPr>
          <w:rFonts w:hint="eastAsia" w:ascii="宋体" w:hAnsi="宋体" w:cs="宋体"/>
          <w:bCs/>
          <w:color w:val="auto"/>
          <w:sz w:val="24"/>
          <w:szCs w:val="24"/>
          <w:highlight w:val="none"/>
          <w:lang w:eastAsia="zh-CN"/>
        </w:rPr>
        <w:t>（本项目不适用）</w:t>
      </w:r>
      <w:r>
        <w:rPr>
          <w:rFonts w:hint="eastAsia" w:ascii="宋体" w:hAnsi="宋体" w:cs="宋体"/>
          <w:bCs/>
          <w:color w:val="auto"/>
          <w:sz w:val="24"/>
          <w:szCs w:val="24"/>
          <w:highlight w:val="none"/>
        </w:rPr>
        <w:t>：</w:t>
      </w:r>
    </w:p>
    <w:p w14:paraId="29A33328">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3.5.1两个以上供应商可以组成一个询比联合体，以一个供应商的身份询比。</w:t>
      </w:r>
    </w:p>
    <w:p w14:paraId="4C673B45">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3.5.2联合体各方均应为在中华人民共和国境内注册，能够独立承担民事责任</w:t>
      </w:r>
      <w:r>
        <w:rPr>
          <w:rFonts w:hint="eastAsia" w:ascii="宋体" w:hAnsi="宋体" w:cs="宋体"/>
          <w:color w:val="auto"/>
          <w:sz w:val="24"/>
          <w:szCs w:val="24"/>
          <w:highlight w:val="none"/>
          <w:lang w:eastAsia="zh-CN"/>
        </w:rPr>
        <w:t>，具</w:t>
      </w:r>
      <w:r>
        <w:rPr>
          <w:rFonts w:hint="eastAsia" w:ascii="宋体" w:hAnsi="宋体" w:cs="宋体"/>
          <w:color w:val="auto"/>
          <w:sz w:val="24"/>
          <w:szCs w:val="24"/>
          <w:highlight w:val="none"/>
        </w:rPr>
        <w:t>有生产或供应能力的本国供应商。</w:t>
      </w:r>
    </w:p>
    <w:p w14:paraId="662F0DB5">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3.5.3采购人根据采购项目对供应商的特殊要求，联合体中至少应当有一方符合相关规定。</w:t>
      </w:r>
    </w:p>
    <w:p w14:paraId="22A4340B">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3.5.4联合体各方应签订联合协议，明确约定联合体各方承担的工作和相应的责任，并将联合协议作为响应文件的一部分提交。</w:t>
      </w:r>
    </w:p>
    <w:p w14:paraId="6E05065E">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3.5.5联合体中有同类资质的供应商按照联合体分工承担相同工作的，应当按照资质等级较低的供应商确定资质等级。</w:t>
      </w:r>
    </w:p>
    <w:p w14:paraId="5901B923">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3.5.6以联合体形式参加采购活动的，联合体各方不得再单独参加或者与其他供应商另外组成联合体参加本项目询比，否则相关响应文件将被认定为</w:t>
      </w:r>
      <w:r>
        <w:rPr>
          <w:rFonts w:hint="eastAsia" w:ascii="宋体" w:hAnsi="宋体" w:cs="宋体"/>
          <w:b/>
          <w:color w:val="auto"/>
          <w:sz w:val="24"/>
          <w:szCs w:val="24"/>
          <w:highlight w:val="none"/>
        </w:rPr>
        <w:t>响应无效</w:t>
      </w:r>
      <w:r>
        <w:rPr>
          <w:rFonts w:hint="eastAsia" w:ascii="宋体" w:hAnsi="宋体" w:cs="宋体"/>
          <w:color w:val="auto"/>
          <w:sz w:val="24"/>
          <w:szCs w:val="24"/>
          <w:highlight w:val="none"/>
        </w:rPr>
        <w:t>。</w:t>
      </w:r>
    </w:p>
    <w:p w14:paraId="52030353">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3.5.7对联合体参加询比的其他资格要求见供应商资格。</w:t>
      </w:r>
    </w:p>
    <w:p w14:paraId="7908F224">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3.6单位负责人为同一人或者存在直接控股、管理关系的不同供应商，不得参加同一合同项下的采购活动。否则其相关响应文件将被认定为</w:t>
      </w:r>
      <w:r>
        <w:rPr>
          <w:rFonts w:hint="eastAsia" w:ascii="宋体" w:hAnsi="宋体" w:cs="宋体"/>
          <w:b/>
          <w:color w:val="auto"/>
          <w:sz w:val="24"/>
          <w:szCs w:val="24"/>
          <w:highlight w:val="none"/>
        </w:rPr>
        <w:t>响应无效</w:t>
      </w:r>
      <w:r>
        <w:rPr>
          <w:rFonts w:hint="eastAsia" w:ascii="宋体" w:hAnsi="宋体" w:cs="宋体"/>
          <w:color w:val="auto"/>
          <w:sz w:val="24"/>
          <w:szCs w:val="24"/>
          <w:highlight w:val="none"/>
        </w:rPr>
        <w:t>。</w:t>
      </w:r>
    </w:p>
    <w:p w14:paraId="5D93E559">
      <w:pPr>
        <w:spacing w:line="360" w:lineRule="auto"/>
        <w:ind w:firstLine="435"/>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3.7为本项目提供过整体设计、规范编制或者项目管理、监理、检测等采购的供应商，不得再参加本项目上述采购以外的其他采购活动。否则其响应文件将被认定为</w:t>
      </w:r>
      <w:r>
        <w:rPr>
          <w:rFonts w:hint="eastAsia" w:ascii="宋体" w:hAnsi="宋体" w:cs="宋体"/>
          <w:b/>
          <w:color w:val="auto"/>
          <w:sz w:val="24"/>
          <w:szCs w:val="24"/>
          <w:highlight w:val="none"/>
        </w:rPr>
        <w:t>响应无效</w:t>
      </w:r>
      <w:r>
        <w:rPr>
          <w:rFonts w:hint="eastAsia" w:ascii="宋体" w:hAnsi="宋体" w:cs="宋体"/>
          <w:color w:val="auto"/>
          <w:sz w:val="24"/>
          <w:szCs w:val="24"/>
          <w:highlight w:val="none"/>
        </w:rPr>
        <w:t>。</w:t>
      </w:r>
    </w:p>
    <w:p w14:paraId="130AE92E">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4.资金来源</w:t>
      </w:r>
    </w:p>
    <w:p w14:paraId="4B76F2F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4.1本项目的采购人已获得足以支付本次询比后所签订的合同项下的资金。</w:t>
      </w:r>
    </w:p>
    <w:p w14:paraId="1885EB1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4.2项目预算金额或分项（或分包）预算金额见询比邀请。</w:t>
      </w:r>
    </w:p>
    <w:p w14:paraId="656A2676">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5.询比费用</w:t>
      </w:r>
    </w:p>
    <w:p w14:paraId="40E64375">
      <w:pPr>
        <w:spacing w:line="360" w:lineRule="auto"/>
        <w:ind w:firstLine="437"/>
        <w:outlineLvl w:val="9"/>
        <w:rPr>
          <w:rFonts w:hint="eastAsia" w:ascii="宋体" w:cs="宋体"/>
          <w:color w:val="auto"/>
          <w:sz w:val="24"/>
          <w:szCs w:val="24"/>
          <w:highlight w:val="none"/>
        </w:rPr>
      </w:pPr>
      <w:r>
        <w:rPr>
          <w:rFonts w:hint="eastAsia" w:ascii="宋体" w:cs="宋体"/>
          <w:color w:val="auto"/>
          <w:sz w:val="24"/>
          <w:szCs w:val="24"/>
          <w:highlight w:val="none"/>
        </w:rPr>
        <w:t>不论询比的结果如何，供应商应承担其所有与准备和参加询比有关的费用。</w:t>
      </w:r>
    </w:p>
    <w:p w14:paraId="725C3438">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6.适用法律</w:t>
      </w:r>
    </w:p>
    <w:p w14:paraId="12C71F72">
      <w:pPr>
        <w:spacing w:line="360" w:lineRule="auto"/>
        <w:ind w:firstLine="435"/>
        <w:outlineLvl w:val="9"/>
        <w:rPr>
          <w:rFonts w:hint="eastAsia" w:ascii="宋体" w:cs="宋体"/>
          <w:color w:val="auto"/>
          <w:sz w:val="24"/>
          <w:szCs w:val="24"/>
          <w:highlight w:val="none"/>
        </w:rPr>
      </w:pPr>
      <w:r>
        <w:rPr>
          <w:rFonts w:hint="eastAsia" w:ascii="宋体" w:cs="宋体"/>
          <w:b/>
          <w:bCs/>
          <w:color w:val="auto"/>
          <w:sz w:val="24"/>
          <w:szCs w:val="24"/>
          <w:highlight w:val="none"/>
        </w:rPr>
        <w:t>本项目为非政府采购项目。</w:t>
      </w:r>
      <w:r>
        <w:rPr>
          <w:rFonts w:hint="eastAsia" w:ascii="宋体" w:cs="宋体"/>
          <w:color w:val="auto"/>
          <w:sz w:val="24"/>
          <w:szCs w:val="24"/>
          <w:highlight w:val="none"/>
        </w:rPr>
        <w:t>本项目采购人、采购代理机构、供应商、询比小组的相关行为均受有关</w:t>
      </w:r>
      <w:r>
        <w:rPr>
          <w:rFonts w:hint="eastAsia" w:ascii="宋体" w:cs="宋体"/>
          <w:color w:val="auto"/>
          <w:sz w:val="24"/>
          <w:szCs w:val="24"/>
          <w:highlight w:val="none"/>
          <w:lang w:eastAsia="zh-CN"/>
        </w:rPr>
        <w:t>法律</w:t>
      </w:r>
      <w:r>
        <w:rPr>
          <w:rFonts w:hint="eastAsia" w:ascii="宋体" w:cs="宋体"/>
          <w:color w:val="auto"/>
          <w:sz w:val="24"/>
          <w:szCs w:val="24"/>
          <w:highlight w:val="none"/>
        </w:rPr>
        <w:t>规定及本项目询比文件的约束和保护。</w:t>
      </w:r>
    </w:p>
    <w:p w14:paraId="15CE9A13">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7.询比文件构成</w:t>
      </w:r>
    </w:p>
    <w:p w14:paraId="75E975B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7.1询比文件包括下列内容：</w:t>
      </w:r>
    </w:p>
    <w:p w14:paraId="0D0387B8">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第一章  询比邀请</w:t>
      </w:r>
    </w:p>
    <w:p w14:paraId="0EDCA912">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第二章  供应商须知</w:t>
      </w:r>
    </w:p>
    <w:p w14:paraId="613A74BB">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第三章  采购需求</w:t>
      </w:r>
    </w:p>
    <w:p w14:paraId="7B596BAE">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第四章  评审方法和标准</w:t>
      </w:r>
    </w:p>
    <w:p w14:paraId="77390247">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第五章  采购合同</w:t>
      </w:r>
    </w:p>
    <w:p w14:paraId="5D07863A">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第六章  响应文件格式</w:t>
      </w:r>
    </w:p>
    <w:p w14:paraId="2EA9E8ED">
      <w:pPr>
        <w:spacing w:line="360" w:lineRule="auto"/>
        <w:ind w:firstLine="840" w:firstLineChars="350"/>
        <w:outlineLvl w:val="9"/>
        <w:rPr>
          <w:rFonts w:hint="eastAsia" w:ascii="宋体" w:cs="宋体"/>
          <w:color w:val="auto"/>
          <w:sz w:val="24"/>
          <w:szCs w:val="24"/>
          <w:highlight w:val="none"/>
        </w:rPr>
      </w:pPr>
      <w:r>
        <w:rPr>
          <w:rFonts w:hint="eastAsia" w:ascii="宋体" w:cs="宋体"/>
          <w:color w:val="auto"/>
          <w:sz w:val="24"/>
          <w:szCs w:val="24"/>
          <w:highlight w:val="none"/>
        </w:rPr>
        <w:t>第七章  供应商质疑函范本</w:t>
      </w:r>
    </w:p>
    <w:p w14:paraId="47CEF30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7.2询比文件中有不一致的，有澄清的部分以最终的澄清更正内容为准。</w:t>
      </w:r>
    </w:p>
    <w:p w14:paraId="428EAA01">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7.3现场踏勘及相关事项见</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w:t>
      </w:r>
    </w:p>
    <w:p w14:paraId="2D5DB283">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7.4供应商应认真阅读询比文件所有的事项、格式、条款和技术规范等。</w:t>
      </w:r>
    </w:p>
    <w:p w14:paraId="6A542ACE">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8.询比文件的澄清与修改</w:t>
      </w:r>
    </w:p>
    <w:p w14:paraId="782AE44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8.1供应商如对询比文件内容有疑问，必须在</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规定的询问截止时间前以邮件提问形式提交给采购代理机构。</w:t>
      </w:r>
    </w:p>
    <w:p w14:paraId="0200C784">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8.2采购人可主动或在解答供应商提出的问题时对询比文件进行澄清或者修改。采购代理机构将在指定媒体上以发布更正公告的方式澄清或者修改询比文件，更正公告的内容作为询比文件的组成部分，对供应商起约束作用。供应商应主动上网查询。采购代理机构不承担供应商未及时关注相关信息引发的相关责任。</w:t>
      </w:r>
    </w:p>
    <w:p w14:paraId="4F22135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8.3任何人或任何组织向供应商提供的任何书面或口头资料，未经采购代理机构在网上发布或书面通知，均作无效处理，不得作为询比文件的组成部分。采购代理机构对供应商由此而做出的推论、理解和结论概不负责。</w:t>
      </w:r>
    </w:p>
    <w:p w14:paraId="48BE0FF9">
      <w:pPr>
        <w:spacing w:line="360" w:lineRule="auto"/>
        <w:ind w:firstLine="435"/>
        <w:outlineLvl w:val="9"/>
        <w:rPr>
          <w:rFonts w:hint="eastAsia" w:ascii="宋体" w:cs="宋体"/>
          <w:iCs/>
          <w:color w:val="auto"/>
          <w:sz w:val="24"/>
          <w:szCs w:val="24"/>
          <w:highlight w:val="none"/>
        </w:rPr>
      </w:pPr>
      <w:r>
        <w:rPr>
          <w:rFonts w:hint="eastAsia" w:ascii="宋体" w:cs="宋体"/>
          <w:color w:val="auto"/>
          <w:sz w:val="24"/>
          <w:szCs w:val="24"/>
          <w:highlight w:val="none"/>
        </w:rPr>
        <w:t>8.4对于没有提出询问又参与了本项目询比的供应商将被视为完全认同本询比文件（含更正公告的内容）</w:t>
      </w:r>
      <w:r>
        <w:rPr>
          <w:rFonts w:hint="eastAsia" w:ascii="宋体" w:cs="宋体"/>
          <w:i/>
          <w:color w:val="auto"/>
          <w:sz w:val="24"/>
          <w:szCs w:val="24"/>
          <w:highlight w:val="none"/>
        </w:rPr>
        <w:t>。</w:t>
      </w:r>
    </w:p>
    <w:p w14:paraId="10E31FFF">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9.询比范围及响应文件中标准和计量单位的使用</w:t>
      </w:r>
    </w:p>
    <w:p w14:paraId="2096A74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9.1项目有分包的，供应商可参与其中某一个或多个分包的询比，成交包数详见</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中规定。</w:t>
      </w:r>
    </w:p>
    <w:p w14:paraId="3058299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9.2无论询比文件中是否要求，</w:t>
      </w:r>
      <w:r>
        <w:rPr>
          <w:rFonts w:hint="eastAsia" w:ascii="宋体"/>
          <w:color w:val="auto"/>
          <w:sz w:val="24"/>
          <w:highlight w:val="none"/>
        </w:rPr>
        <w:t>供应商所投服务及伴随的货物和工程均应符合国家强制性标准。</w:t>
      </w:r>
    </w:p>
    <w:p w14:paraId="34784AF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9.3供应商与采购代理机构之间与询比有关的所有往来通知、函件和响应文件均用中文表述。供应商随响应文件提供的证明文件和资料可以为其他语言，但必须附中文译文。翻译的中文资料与外文资料如果出现差异时，以中文为准。</w:t>
      </w:r>
    </w:p>
    <w:p w14:paraId="32D3450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9.4除询比文件中有特殊要求外，响应文件中所使用的计量单位，应采用中华人民共和国法定计量单位。</w:t>
      </w:r>
    </w:p>
    <w:p w14:paraId="692FC478">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10.响应文件构成</w:t>
      </w:r>
    </w:p>
    <w:p w14:paraId="1F9C2261">
      <w:pPr>
        <w:spacing w:line="360" w:lineRule="auto"/>
        <w:ind w:firstLine="437"/>
        <w:outlineLvl w:val="9"/>
        <w:rPr>
          <w:rFonts w:hint="eastAsia" w:ascii="宋体" w:cs="宋体"/>
          <w:color w:val="auto"/>
          <w:sz w:val="24"/>
          <w:szCs w:val="24"/>
          <w:highlight w:val="none"/>
        </w:rPr>
      </w:pPr>
      <w:r>
        <w:rPr>
          <w:rFonts w:hint="eastAsia" w:ascii="宋体" w:cs="宋体"/>
          <w:color w:val="auto"/>
          <w:sz w:val="24"/>
          <w:szCs w:val="24"/>
          <w:highlight w:val="none"/>
        </w:rPr>
        <w:t>10.1供应商应完整地按询比文件提供的响应文件格式及要求编写响应文件，具体内容详见第六章响应文件格式的相关内容。</w:t>
      </w:r>
    </w:p>
    <w:p w14:paraId="7968A07B">
      <w:pPr>
        <w:spacing w:line="360" w:lineRule="auto"/>
        <w:ind w:firstLine="437"/>
        <w:outlineLvl w:val="9"/>
        <w:rPr>
          <w:rFonts w:hint="eastAsia" w:ascii="宋体" w:cs="宋体"/>
          <w:color w:val="auto"/>
          <w:sz w:val="24"/>
          <w:szCs w:val="24"/>
          <w:highlight w:val="none"/>
        </w:rPr>
      </w:pPr>
      <w:r>
        <w:rPr>
          <w:rFonts w:hint="eastAsia" w:ascii="宋体" w:cs="宋体"/>
          <w:color w:val="auto"/>
          <w:sz w:val="24"/>
          <w:szCs w:val="24"/>
          <w:highlight w:val="none"/>
        </w:rPr>
        <w:t>10.2上述文件应按照询比文件规定的格式填写、签署和盖章。</w:t>
      </w:r>
    </w:p>
    <w:p w14:paraId="09858BE4">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11.证明标的的合格性和符合询比文件规定的技术文件</w:t>
      </w:r>
    </w:p>
    <w:p w14:paraId="69C364D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11.1供应商应提交询比文件要求的证明文件，证明其响应内容符合询比文件规定。该证明文件是响应文件的一部分。</w:t>
      </w:r>
    </w:p>
    <w:p w14:paraId="214C5272">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11.2上款所述的证明文件，可以是文字资料、图纸和数据</w:t>
      </w:r>
      <w:bookmarkStart w:id="30" w:name="_Hlk11703583"/>
      <w:r>
        <w:rPr>
          <w:rFonts w:hint="eastAsia" w:ascii="宋体" w:cs="宋体"/>
          <w:color w:val="auto"/>
          <w:sz w:val="24"/>
          <w:szCs w:val="24"/>
          <w:highlight w:val="none"/>
        </w:rPr>
        <w:t>。</w:t>
      </w:r>
    </w:p>
    <w:bookmarkEnd w:id="30"/>
    <w:p w14:paraId="662A63E2">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11.3本条所指证明文件不包括对询比文件相关部分的文字、图标的复制。</w:t>
      </w:r>
    </w:p>
    <w:p w14:paraId="4A615BB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11.4供应商应注意采购人在采购需求中提供的工艺、材料和设备的参考品牌型号或分类号仅起说明作用，并没有任何限制性。供应商在响应文件中可以选用替代品牌型号或分类号，但这些替代要实质上相当于技术规格的要求，是否满足要求，由询比小组来评判。</w:t>
      </w:r>
    </w:p>
    <w:p w14:paraId="3373797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11.5为保证公平公正，除非询比文件另有规定或说明，供应商对同一项目询比时，不得同时提供备选询比方案。</w:t>
      </w:r>
    </w:p>
    <w:p w14:paraId="0ACE578F">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12.报价</w:t>
      </w:r>
    </w:p>
    <w:p w14:paraId="24A6C597">
      <w:pPr>
        <w:spacing w:line="360" w:lineRule="auto"/>
        <w:ind w:firstLine="435"/>
        <w:jc w:val="left"/>
        <w:outlineLvl w:val="9"/>
        <w:rPr>
          <w:rFonts w:hint="eastAsia" w:ascii="宋体"/>
          <w:color w:val="auto"/>
          <w:sz w:val="24"/>
          <w:highlight w:val="none"/>
        </w:rPr>
      </w:pPr>
      <w:r>
        <w:rPr>
          <w:rFonts w:hint="eastAsia" w:ascii="宋体"/>
          <w:color w:val="auto"/>
          <w:sz w:val="24"/>
          <w:highlight w:val="none"/>
        </w:rPr>
        <w:t>12.1供应商的报价应当包括满足本次询比全部采购需求所应提供的货物，以及伴随的服务和工程。所有内容均应以人民币报价，供应商的询比报价应遵守《中华人民共和国价格法》。</w:t>
      </w:r>
    </w:p>
    <w:p w14:paraId="66F5AD81">
      <w:pPr>
        <w:spacing w:line="360" w:lineRule="auto"/>
        <w:ind w:firstLine="435"/>
        <w:jc w:val="left"/>
        <w:outlineLvl w:val="9"/>
        <w:rPr>
          <w:rFonts w:hint="eastAsia" w:ascii="宋体"/>
          <w:color w:val="auto"/>
          <w:sz w:val="24"/>
          <w:highlight w:val="none"/>
        </w:rPr>
      </w:pPr>
      <w:r>
        <w:rPr>
          <w:rFonts w:hint="eastAsia" w:ascii="宋体"/>
          <w:color w:val="auto"/>
          <w:sz w:val="24"/>
          <w:highlight w:val="none"/>
        </w:rPr>
        <w:t>12.2供应商应在分项报价表上标明所投货物及相关服务的价格（如适用）和总价，未标明的视同包含在询比报价中。</w:t>
      </w:r>
    </w:p>
    <w:p w14:paraId="06926988">
      <w:pPr>
        <w:spacing w:line="360" w:lineRule="auto"/>
        <w:ind w:firstLine="435"/>
        <w:jc w:val="left"/>
        <w:outlineLvl w:val="9"/>
        <w:rPr>
          <w:rFonts w:hint="eastAsia" w:ascii="宋体"/>
          <w:color w:val="auto"/>
          <w:sz w:val="24"/>
          <w:highlight w:val="none"/>
        </w:rPr>
      </w:pPr>
      <w:r>
        <w:rPr>
          <w:rFonts w:hint="eastAsia" w:ascii="宋体"/>
          <w:color w:val="auto"/>
          <w:sz w:val="24"/>
          <w:highlight w:val="none"/>
        </w:rPr>
        <w:t>12.3除非询比文件另有规定或经采购人同意支付的，最后报价均不得高于询比文件（公告）列明的项目预算，否则其响应文件将被认定为</w:t>
      </w:r>
      <w:r>
        <w:rPr>
          <w:rFonts w:hint="eastAsia" w:ascii="宋体"/>
          <w:b/>
          <w:color w:val="auto"/>
          <w:sz w:val="24"/>
          <w:highlight w:val="none"/>
        </w:rPr>
        <w:t>响应无效</w:t>
      </w:r>
      <w:r>
        <w:rPr>
          <w:rFonts w:hint="eastAsia" w:ascii="宋体"/>
          <w:color w:val="auto"/>
          <w:sz w:val="24"/>
          <w:highlight w:val="none"/>
        </w:rPr>
        <w:t>。</w:t>
      </w:r>
    </w:p>
    <w:p w14:paraId="076D0ADF">
      <w:pPr>
        <w:spacing w:line="360" w:lineRule="auto"/>
        <w:ind w:firstLine="435"/>
        <w:jc w:val="left"/>
        <w:outlineLvl w:val="9"/>
        <w:rPr>
          <w:rFonts w:hint="eastAsia" w:ascii="宋体"/>
          <w:color w:val="auto"/>
          <w:sz w:val="24"/>
          <w:highlight w:val="none"/>
        </w:rPr>
      </w:pPr>
      <w:r>
        <w:rPr>
          <w:rFonts w:hint="eastAsia" w:ascii="宋体"/>
          <w:color w:val="auto"/>
          <w:sz w:val="24"/>
          <w:highlight w:val="none"/>
        </w:rPr>
        <w:t>12.4报价在合同履行过程中是固定不变的，不得以任何理由予以变更。任何包含价格调整要求的询比，其响应文件将被认定为</w:t>
      </w:r>
      <w:r>
        <w:rPr>
          <w:rFonts w:hint="eastAsia" w:ascii="宋体"/>
          <w:b/>
          <w:color w:val="auto"/>
          <w:sz w:val="24"/>
          <w:highlight w:val="none"/>
        </w:rPr>
        <w:t>响应无效</w:t>
      </w:r>
      <w:r>
        <w:rPr>
          <w:rFonts w:hint="eastAsia" w:ascii="宋体"/>
          <w:color w:val="auto"/>
          <w:sz w:val="24"/>
          <w:highlight w:val="none"/>
        </w:rPr>
        <w:t>。</w:t>
      </w:r>
    </w:p>
    <w:p w14:paraId="4E147614">
      <w:pPr>
        <w:spacing w:line="360" w:lineRule="auto"/>
        <w:ind w:firstLine="435"/>
        <w:jc w:val="left"/>
        <w:outlineLvl w:val="9"/>
        <w:rPr>
          <w:rFonts w:hint="eastAsia" w:ascii="宋体"/>
          <w:color w:val="auto"/>
          <w:sz w:val="24"/>
          <w:highlight w:val="none"/>
        </w:rPr>
      </w:pPr>
      <w:r>
        <w:rPr>
          <w:rFonts w:hint="eastAsia" w:ascii="宋体"/>
          <w:color w:val="auto"/>
          <w:sz w:val="24"/>
          <w:highlight w:val="none"/>
        </w:rPr>
        <w:t>12.5采购人不接受具有附加条件的报价。</w:t>
      </w:r>
    </w:p>
    <w:p w14:paraId="57B1E8C8">
      <w:pPr>
        <w:spacing w:line="360" w:lineRule="auto"/>
        <w:ind w:firstLine="435"/>
        <w:jc w:val="left"/>
        <w:outlineLvl w:val="9"/>
        <w:rPr>
          <w:rFonts w:hint="eastAsia" w:ascii="宋体"/>
          <w:color w:val="auto"/>
          <w:sz w:val="24"/>
          <w:highlight w:val="none"/>
        </w:rPr>
      </w:pPr>
      <w:r>
        <w:rPr>
          <w:rFonts w:hint="eastAsia" w:ascii="宋体" w:hAnsi="Times New Roman" w:eastAsia="宋体" w:cs="Times New Roman"/>
          <w:color w:val="auto"/>
          <w:sz w:val="24"/>
          <w:highlight w:val="none"/>
          <w:lang w:val="en-US" w:eastAsia="zh-CN"/>
        </w:rPr>
        <w:t>12.6报价的其他要求详见供应商</w:t>
      </w:r>
      <w:r>
        <w:rPr>
          <w:rFonts w:hint="eastAsia" w:ascii="宋体" w:hAnsi="Times New Roman" w:eastAsia="宋体" w:cs="Times New Roman"/>
          <w:color w:val="auto"/>
          <w:sz w:val="24"/>
          <w:highlight w:val="none"/>
        </w:rPr>
        <w:t>须知前附表。</w:t>
      </w:r>
    </w:p>
    <w:p w14:paraId="65C1253B">
      <w:pPr>
        <w:spacing w:line="360" w:lineRule="auto"/>
        <w:ind w:firstLine="437"/>
        <w:outlineLvl w:val="9"/>
        <w:rPr>
          <w:rFonts w:hint="default" w:ascii="宋体" w:eastAsia="宋体" w:cs="宋体"/>
          <w:b/>
          <w:color w:val="auto"/>
          <w:sz w:val="24"/>
          <w:szCs w:val="24"/>
          <w:highlight w:val="none"/>
          <w:lang w:val="en-US" w:eastAsia="zh-CN"/>
        </w:rPr>
      </w:pPr>
      <w:r>
        <w:rPr>
          <w:rFonts w:hint="eastAsia" w:ascii="宋体" w:cs="宋体"/>
          <w:b/>
          <w:color w:val="auto"/>
          <w:sz w:val="24"/>
          <w:szCs w:val="24"/>
          <w:highlight w:val="none"/>
        </w:rPr>
        <w:t>13.</w:t>
      </w:r>
      <w:r>
        <w:rPr>
          <w:rFonts w:hint="eastAsia" w:ascii="宋体" w:cs="宋体"/>
          <w:b/>
          <w:color w:val="auto"/>
          <w:sz w:val="24"/>
          <w:szCs w:val="24"/>
          <w:highlight w:val="none"/>
          <w:lang w:eastAsia="zh-CN"/>
        </w:rPr>
        <w:t>询比保证金</w:t>
      </w:r>
    </w:p>
    <w:p w14:paraId="68FFF32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13.1供应商应提交</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中规定的</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，并作为其响应文件的一部分。供应商未按规定提交</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的，其响应文件将被认定为</w:t>
      </w:r>
      <w:r>
        <w:rPr>
          <w:rFonts w:hint="eastAsia" w:ascii="宋体" w:cs="宋体"/>
          <w:b/>
          <w:color w:val="auto"/>
          <w:sz w:val="24"/>
          <w:szCs w:val="24"/>
          <w:highlight w:val="none"/>
        </w:rPr>
        <w:t>响应无效</w:t>
      </w:r>
      <w:r>
        <w:rPr>
          <w:rFonts w:hint="eastAsia" w:ascii="宋体" w:cs="宋体"/>
          <w:color w:val="auto"/>
          <w:sz w:val="24"/>
          <w:szCs w:val="24"/>
          <w:highlight w:val="none"/>
        </w:rPr>
        <w:t>。</w:t>
      </w:r>
    </w:p>
    <w:p w14:paraId="0691C29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13.2供应商请注意：</w:t>
      </w:r>
    </w:p>
    <w:p w14:paraId="3B40FED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（1）前次采购失败的，采购代理机构将退还供应商的</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w:t>
      </w:r>
    </w:p>
    <w:p w14:paraId="32C35E6F">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（2）采购代理机构</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缴纳账号采用动态虚拟账号，项目采购失败后，</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缴纳账号将会发生变化，请供应商参与后续采购时，注意勿将</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错交至其他项目虚拟账号或前次公告账号。</w:t>
      </w:r>
    </w:p>
    <w:p w14:paraId="44D300F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（3）凡转账到其他项目虚拟账号或本项目前次公告账号的，其响应文件将被认定为</w:t>
      </w:r>
      <w:r>
        <w:rPr>
          <w:rFonts w:hint="eastAsia" w:ascii="宋体" w:cs="宋体"/>
          <w:b/>
          <w:color w:val="auto"/>
          <w:sz w:val="24"/>
          <w:szCs w:val="24"/>
          <w:highlight w:val="none"/>
        </w:rPr>
        <w:t>响应无效</w:t>
      </w:r>
      <w:r>
        <w:rPr>
          <w:rFonts w:hint="eastAsia" w:ascii="宋体" w:cs="宋体"/>
          <w:color w:val="auto"/>
          <w:sz w:val="24"/>
          <w:szCs w:val="24"/>
          <w:highlight w:val="none"/>
        </w:rPr>
        <w:t>。</w:t>
      </w:r>
    </w:p>
    <w:p w14:paraId="67F1B964">
      <w:pPr>
        <w:spacing w:line="360" w:lineRule="auto"/>
        <w:ind w:firstLine="435"/>
        <w:outlineLvl w:val="9"/>
        <w:rPr>
          <w:rFonts w:hint="eastAsia" w:ascii="宋体" w:eastAsia="宋体" w:cs="宋体"/>
          <w:color w:val="auto"/>
          <w:sz w:val="24"/>
          <w:szCs w:val="24"/>
          <w:highlight w:val="none"/>
          <w:lang w:eastAsia="zh-CN"/>
        </w:rPr>
      </w:pPr>
      <w:r>
        <w:rPr>
          <w:rFonts w:hint="eastAsia" w:ascii="宋体" w:cs="宋体"/>
          <w:color w:val="auto"/>
          <w:sz w:val="24"/>
          <w:szCs w:val="24"/>
          <w:highlight w:val="none"/>
        </w:rPr>
        <w:t>13.3</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缴纳人名称与供应商名称应当一致。除非询比文件另有规定，分公司或子公司代缴</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，视同名称不一致。</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缴纳人名称与供应商名称不一致的，其响应文件将被认定为</w:t>
      </w:r>
      <w:r>
        <w:rPr>
          <w:rFonts w:hint="eastAsia" w:ascii="宋体" w:cs="宋体"/>
          <w:b/>
          <w:color w:val="auto"/>
          <w:sz w:val="24"/>
          <w:szCs w:val="24"/>
          <w:highlight w:val="none"/>
        </w:rPr>
        <w:t>响应无效</w:t>
      </w:r>
      <w:r>
        <w:rPr>
          <w:rFonts w:hint="eastAsia" w:ascii="宋体" w:cs="宋体"/>
          <w:b/>
          <w:color w:val="auto"/>
          <w:sz w:val="24"/>
          <w:szCs w:val="24"/>
          <w:highlight w:val="none"/>
          <w:lang w:eastAsia="zh-CN"/>
        </w:rPr>
        <w:t>。</w:t>
      </w:r>
    </w:p>
    <w:p w14:paraId="4829464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13.4联合体参加询比的，可以由联合体中的一方或者共同提交</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。以一方名义提交</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的，对联合体各方均具有约束力。</w:t>
      </w:r>
    </w:p>
    <w:p w14:paraId="584E052C">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13.5采购代理机构将在</w:t>
      </w:r>
      <w:r>
        <w:rPr>
          <w:rFonts w:hint="eastAsia" w:ascii="宋体" w:cs="宋体"/>
          <w:color w:val="auto"/>
          <w:sz w:val="24"/>
          <w:szCs w:val="24"/>
          <w:highlight w:val="none"/>
          <w:lang w:eastAsia="zh-CN"/>
        </w:rPr>
        <w:t>采购人与成交供应商</w:t>
      </w:r>
      <w:r>
        <w:rPr>
          <w:rFonts w:hint="eastAsia" w:ascii="宋体" w:cs="宋体"/>
          <w:color w:val="auto"/>
          <w:sz w:val="24"/>
          <w:szCs w:val="24"/>
          <w:highlight w:val="none"/>
        </w:rPr>
        <w:t>签订</w:t>
      </w:r>
      <w:r>
        <w:rPr>
          <w:rFonts w:hint="eastAsia" w:ascii="宋体" w:cs="宋体"/>
          <w:color w:val="auto"/>
          <w:sz w:val="24"/>
          <w:szCs w:val="24"/>
          <w:highlight w:val="none"/>
          <w:lang w:eastAsia="zh-CN"/>
        </w:rPr>
        <w:t>合同</w:t>
      </w:r>
      <w:r>
        <w:rPr>
          <w:rFonts w:hint="eastAsia" w:ascii="宋体" w:cs="宋体"/>
          <w:color w:val="auto"/>
          <w:sz w:val="24"/>
          <w:szCs w:val="24"/>
          <w:highlight w:val="none"/>
        </w:rPr>
        <w:t>后</w:t>
      </w:r>
      <w:r>
        <w:rPr>
          <w:rFonts w:hint="eastAsia" w:ascii="宋体" w:cs="宋体"/>
          <w:color w:val="auto"/>
          <w:sz w:val="24"/>
          <w:szCs w:val="24"/>
          <w:highlight w:val="none"/>
          <w:lang w:val="en-US" w:eastAsia="zh-CN"/>
        </w:rPr>
        <w:t>30</w:t>
      </w:r>
      <w:r>
        <w:rPr>
          <w:rFonts w:hint="eastAsia" w:ascii="宋体" w:cs="宋体"/>
          <w:color w:val="auto"/>
          <w:sz w:val="24"/>
          <w:szCs w:val="24"/>
          <w:highlight w:val="none"/>
        </w:rPr>
        <w:t>个日内退还</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的</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w:t>
      </w:r>
    </w:p>
    <w:p w14:paraId="2362B67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13.6因供应商自身原因导致无法及时退还的，采购人或采购代理机构将不承担相应责任。</w:t>
      </w:r>
    </w:p>
    <w:p w14:paraId="1B046C0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13.7有下列情形之一的，</w:t>
      </w:r>
      <w:r>
        <w:rPr>
          <w:rFonts w:hint="eastAsia" w:ascii="宋体" w:cs="宋体"/>
          <w:color w:val="auto"/>
          <w:sz w:val="24"/>
          <w:szCs w:val="24"/>
          <w:highlight w:val="none"/>
          <w:lang w:eastAsia="zh-CN"/>
        </w:rPr>
        <w:t>询比保证金</w:t>
      </w:r>
      <w:r>
        <w:rPr>
          <w:rFonts w:hint="eastAsia" w:ascii="宋体" w:cs="宋体"/>
          <w:color w:val="auto"/>
          <w:sz w:val="24"/>
          <w:szCs w:val="24"/>
          <w:highlight w:val="none"/>
        </w:rPr>
        <w:t>不予退还：</w:t>
      </w:r>
    </w:p>
    <w:p w14:paraId="62839EF1">
      <w:pPr>
        <w:spacing w:line="360" w:lineRule="auto"/>
        <w:ind w:firstLine="435"/>
        <w:outlineLvl w:val="9"/>
        <w:rPr>
          <w:rFonts w:hint="eastAsia" w:ascii="宋体"/>
          <w:color w:val="auto"/>
          <w:sz w:val="24"/>
          <w:highlight w:val="none"/>
        </w:rPr>
      </w:pPr>
      <w:r>
        <w:rPr>
          <w:rFonts w:hint="eastAsia" w:ascii="宋体"/>
          <w:color w:val="auto"/>
          <w:sz w:val="24"/>
          <w:highlight w:val="none"/>
        </w:rPr>
        <w:t>（1）供应商在提交响应文件截止时间后撤回响应文件的；</w:t>
      </w:r>
    </w:p>
    <w:p w14:paraId="2DC09EA8">
      <w:pPr>
        <w:spacing w:line="360" w:lineRule="auto"/>
        <w:ind w:firstLine="435"/>
        <w:outlineLvl w:val="9"/>
        <w:rPr>
          <w:rFonts w:hint="eastAsia" w:ascii="宋体"/>
          <w:color w:val="auto"/>
          <w:sz w:val="24"/>
          <w:highlight w:val="none"/>
        </w:rPr>
      </w:pPr>
      <w:r>
        <w:rPr>
          <w:rFonts w:hint="eastAsia" w:ascii="宋体"/>
          <w:color w:val="auto"/>
          <w:sz w:val="24"/>
          <w:highlight w:val="none"/>
        </w:rPr>
        <w:t>（2）供应商在响应文件中提供虚假材料的；</w:t>
      </w:r>
    </w:p>
    <w:p w14:paraId="29F05B76">
      <w:pPr>
        <w:spacing w:line="360" w:lineRule="auto"/>
        <w:ind w:firstLine="435"/>
        <w:outlineLvl w:val="9"/>
        <w:rPr>
          <w:rFonts w:hint="eastAsia" w:ascii="宋体"/>
          <w:color w:val="auto"/>
          <w:sz w:val="24"/>
          <w:highlight w:val="none"/>
        </w:rPr>
      </w:pPr>
      <w:r>
        <w:rPr>
          <w:rFonts w:hint="eastAsia" w:ascii="宋体"/>
          <w:color w:val="auto"/>
          <w:sz w:val="24"/>
          <w:highlight w:val="none"/>
        </w:rPr>
        <w:t>（3）除因不可抗力或询比文件认可的情形以外，</w:t>
      </w:r>
      <w:r>
        <w:rPr>
          <w:rFonts w:hint="eastAsia" w:ascii="宋体"/>
          <w:color w:val="auto"/>
          <w:sz w:val="24"/>
          <w:highlight w:val="none"/>
          <w:lang w:eastAsia="zh-CN"/>
        </w:rPr>
        <w:t>成交供应商</w:t>
      </w:r>
      <w:r>
        <w:rPr>
          <w:rFonts w:hint="eastAsia" w:ascii="宋体"/>
          <w:color w:val="auto"/>
          <w:sz w:val="24"/>
          <w:highlight w:val="none"/>
        </w:rPr>
        <w:t>不与采购人签订合同的；</w:t>
      </w:r>
    </w:p>
    <w:p w14:paraId="72DC59AE">
      <w:pPr>
        <w:spacing w:line="360" w:lineRule="auto"/>
        <w:ind w:firstLine="435"/>
        <w:outlineLvl w:val="9"/>
        <w:rPr>
          <w:rFonts w:hint="eastAsia" w:ascii="宋体"/>
          <w:color w:val="auto"/>
          <w:sz w:val="24"/>
          <w:highlight w:val="none"/>
        </w:rPr>
      </w:pPr>
      <w:r>
        <w:rPr>
          <w:rFonts w:hint="eastAsia" w:ascii="宋体"/>
          <w:color w:val="auto"/>
          <w:sz w:val="24"/>
          <w:highlight w:val="none"/>
        </w:rPr>
        <w:t>（4）供应商与采购人、其他供应商或者采购代理机构恶意串通的；</w:t>
      </w:r>
    </w:p>
    <w:p w14:paraId="30333C24">
      <w:pPr>
        <w:spacing w:line="360" w:lineRule="auto"/>
        <w:ind w:firstLine="435"/>
        <w:outlineLvl w:val="9"/>
        <w:rPr>
          <w:rFonts w:hint="eastAsia" w:ascii="宋体" w:cs="宋体"/>
          <w:color w:val="auto"/>
          <w:sz w:val="24"/>
          <w:szCs w:val="24"/>
          <w:highlight w:val="none"/>
        </w:rPr>
      </w:pPr>
      <w:r>
        <w:rPr>
          <w:rFonts w:hint="eastAsia" w:ascii="宋体"/>
          <w:color w:val="auto"/>
          <w:sz w:val="24"/>
          <w:highlight w:val="none"/>
        </w:rPr>
        <w:t>（5）</w:t>
      </w:r>
      <w:r>
        <w:rPr>
          <w:rFonts w:hint="eastAsia" w:ascii="宋体"/>
          <w:color w:val="auto"/>
          <w:sz w:val="24"/>
          <w:highlight w:val="none"/>
          <w:u w:val="single"/>
        </w:rPr>
        <w:t>供应商须知前附表</w:t>
      </w:r>
      <w:r>
        <w:rPr>
          <w:rFonts w:hint="eastAsia" w:ascii="宋体"/>
          <w:color w:val="auto"/>
          <w:sz w:val="24"/>
          <w:highlight w:val="none"/>
        </w:rPr>
        <w:t>中规定的其他不予退还</w:t>
      </w:r>
      <w:r>
        <w:rPr>
          <w:rFonts w:hint="eastAsia" w:ascii="宋体"/>
          <w:color w:val="auto"/>
          <w:sz w:val="24"/>
          <w:highlight w:val="none"/>
          <w:lang w:eastAsia="zh-CN"/>
        </w:rPr>
        <w:t>询比保证金</w:t>
      </w:r>
      <w:r>
        <w:rPr>
          <w:rFonts w:hint="eastAsia" w:ascii="宋体"/>
          <w:color w:val="auto"/>
          <w:sz w:val="24"/>
          <w:highlight w:val="none"/>
        </w:rPr>
        <w:t>的情形。</w:t>
      </w:r>
    </w:p>
    <w:p w14:paraId="33E49642">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14.询比有效期</w:t>
      </w:r>
    </w:p>
    <w:p w14:paraId="5D06486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14.1询比有效期为从响应文件提交截止之日算起的日历天数，询比有效期详见</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w:t>
      </w:r>
    </w:p>
    <w:p w14:paraId="0ED1F60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14.2在询比有效期内，供应商的询比保持有效，供应商不得要求撤销或修改其响应文件。询比有效期不满足要求的响应，其响应文件将被认定为</w:t>
      </w:r>
      <w:r>
        <w:rPr>
          <w:rFonts w:hint="eastAsia" w:ascii="宋体" w:cs="宋体"/>
          <w:b/>
          <w:color w:val="auto"/>
          <w:sz w:val="24"/>
          <w:szCs w:val="24"/>
          <w:highlight w:val="none"/>
        </w:rPr>
        <w:t>响应无效</w:t>
      </w:r>
      <w:r>
        <w:rPr>
          <w:rFonts w:hint="eastAsia" w:ascii="宋体" w:cs="宋体"/>
          <w:color w:val="auto"/>
          <w:sz w:val="24"/>
          <w:szCs w:val="24"/>
          <w:highlight w:val="none"/>
        </w:rPr>
        <w:t>。</w:t>
      </w:r>
    </w:p>
    <w:p w14:paraId="28084A6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14.3为保证有充分时间签订合同，采购人或采购代理机构可根据实际情况，在原询比有效期截止之前，要求供应商延长询比有效期。接受该要求的供应商将不会被要求和允许修正其响应文件。供应商可以拒绝延长询比有效期的要求，且不承担任何责任。上述要求和答复都应以书面形式提交。</w:t>
      </w:r>
    </w:p>
    <w:p w14:paraId="6FFA7531">
      <w:pPr>
        <w:spacing w:line="360" w:lineRule="auto"/>
        <w:ind w:firstLine="437"/>
        <w:outlineLvl w:val="9"/>
        <w:rPr>
          <w:rFonts w:hint="eastAsia" w:ascii="宋体" w:cs="宋体"/>
          <w:color w:val="auto"/>
          <w:sz w:val="24"/>
          <w:szCs w:val="24"/>
          <w:highlight w:val="none"/>
        </w:rPr>
      </w:pPr>
      <w:r>
        <w:rPr>
          <w:rFonts w:hint="eastAsia" w:ascii="宋体" w:cs="宋体"/>
          <w:b/>
          <w:color w:val="auto"/>
          <w:sz w:val="24"/>
          <w:szCs w:val="24"/>
          <w:highlight w:val="none"/>
        </w:rPr>
        <w:t>15.响应文件的制作</w:t>
      </w:r>
    </w:p>
    <w:p w14:paraId="43AD9658">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15.1响应文件应按“响应文件格式”进行编写，如有必要，可以增加附页，作为响应文件的组成部分。其中，</w:t>
      </w:r>
      <w:r>
        <w:rPr>
          <w:rFonts w:hint="eastAsia" w:ascii="宋体" w:hAnsi="宋体" w:eastAsia="宋体" w:cs="宋体"/>
          <w:b/>
          <w:bCs/>
          <w:color w:val="auto"/>
          <w:sz w:val="24"/>
          <w:highlight w:val="none"/>
          <w:lang w:val="en-US" w:eastAsia="zh-CN"/>
        </w:rPr>
        <w:t>询比响应</w:t>
      </w:r>
      <w:r>
        <w:rPr>
          <w:rFonts w:hint="eastAsia" w:ascii="宋体" w:hAnsi="宋体" w:eastAsia="宋体" w:cs="宋体"/>
          <w:b/>
          <w:bCs/>
          <w:color w:val="auto"/>
          <w:sz w:val="24"/>
          <w:highlight w:val="none"/>
        </w:rPr>
        <w:t>函附录在满足邀请采购文件实质性要求的基础上，可以提出比邀请采购文件要求更有利于采购人的承诺。</w:t>
      </w:r>
    </w:p>
    <w:p w14:paraId="7E9A870F">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15.2 响应文件应当对邀请采购文件有关设计服务期限、</w:t>
      </w:r>
      <w:r>
        <w:rPr>
          <w:rFonts w:hint="eastAsia" w:ascii="宋体" w:hAnsi="宋体" w:eastAsia="宋体" w:cs="宋体"/>
          <w:b/>
          <w:bCs/>
          <w:color w:val="auto"/>
          <w:sz w:val="24"/>
          <w:highlight w:val="none"/>
          <w:lang w:eastAsia="zh-CN"/>
        </w:rPr>
        <w:t>询比</w:t>
      </w:r>
      <w:r>
        <w:rPr>
          <w:rFonts w:hint="eastAsia" w:ascii="宋体" w:hAnsi="宋体" w:eastAsia="宋体" w:cs="宋体"/>
          <w:b/>
          <w:bCs/>
          <w:color w:val="auto"/>
          <w:sz w:val="24"/>
          <w:highlight w:val="none"/>
        </w:rPr>
        <w:t>有效期、</w:t>
      </w:r>
      <w:r>
        <w:rPr>
          <w:rFonts w:hint="eastAsia" w:ascii="宋体" w:hAnsi="宋体" w:eastAsia="宋体" w:cs="宋体"/>
          <w:b/>
          <w:bCs/>
          <w:color w:val="auto"/>
          <w:sz w:val="24"/>
          <w:highlight w:val="none"/>
          <w:lang w:val="en-US" w:eastAsia="zh-CN"/>
        </w:rPr>
        <w:t>采购人</w:t>
      </w:r>
      <w:r>
        <w:rPr>
          <w:rFonts w:hint="eastAsia" w:ascii="宋体" w:hAnsi="宋体" w:eastAsia="宋体" w:cs="宋体"/>
          <w:b/>
          <w:bCs/>
          <w:color w:val="auto"/>
          <w:sz w:val="24"/>
          <w:highlight w:val="none"/>
        </w:rPr>
        <w:t>要求、采购范围等实质性内容作出响应。</w:t>
      </w:r>
    </w:p>
    <w:p w14:paraId="108A1D23">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15.3 响应文件的制作应满足以下规定：</w:t>
      </w:r>
    </w:p>
    <w:p w14:paraId="4FC77C19">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（1）响应文件由供应商使用电子交易系统提供的“响应文件制作工具”制作生成。“响应文件制作工具”可以通过电子交易系统下载。</w:t>
      </w:r>
    </w:p>
    <w:p w14:paraId="3E42AA94">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2）在“响应文件格式”中要求盖单位章和（或）签字处，供应商应加盖供应商单位电子印章和（或）法定代表人的个人电子印章/电子签名章。联合体投标的，除联合体协议书外，响应文件由联合体牵头人按上述规定加盖联合体牵头人单位电子印章和（或）法定代表人的个人电子印章/电子签名章。</w:t>
      </w:r>
    </w:p>
    <w:p w14:paraId="60A9E19A">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3）响应文件制作完成后，供应商应对响应文件进行文件加密，形成加密的响应文件。采用数字证书加密的，加密时响应文件的所有内容均只能使用同一把数字证书进行加密，否则引起的解密失败责任由供应商自行承担。</w:t>
      </w:r>
    </w:p>
    <w:p w14:paraId="3EDA8039">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（4）响应文件制作的具体方法详见“响应文件制作工具”中的帮助文档。</w:t>
      </w:r>
    </w:p>
    <w:p w14:paraId="424CCC2E">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15.4 电子交易平台生成加密响应文件时，同时生成非加密响应文件，作为加密响应文件无法解密、导入时的补救措施。供应商应按供应商须知前附表的要求递交非加密响应文件光盘。</w:t>
      </w:r>
    </w:p>
    <w:p w14:paraId="67A048A5">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15.5 因供应商自身原因而导致响应文件（指解密后的响应文件或启用补救措施下的非加密响应文件）无法导入电子交易系统电子开标、评标系统，该投标视为无效投标，供应商自行承担由此导致的全部责任。</w:t>
      </w:r>
    </w:p>
    <w:p w14:paraId="1CCE337A">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16.响应文件提交截止时间</w:t>
      </w:r>
    </w:p>
    <w:p w14:paraId="6BE7A84E">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16.1 响应文件应按要求制作并加密，未按要求加密的响应文件将被拒绝接收。</w:t>
      </w:r>
    </w:p>
    <w:p w14:paraId="694343D9">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16.2 如供应商须知前附表规定接受供应商提供非加密响应文件（与加密的响应文件为同时生成的版本），则非加密响应文件应当单独密封包装在一个封套中。封套的封口处加盖供应商单位章或由供应商的法定</w:t>
      </w:r>
      <w:r>
        <w:rPr>
          <w:rFonts w:hint="eastAsia" w:ascii="宋体" w:hAnsi="宋体" w:eastAsia="宋体" w:cs="宋体"/>
          <w:b/>
          <w:bCs/>
          <w:color w:val="auto"/>
          <w:sz w:val="24"/>
          <w:highlight w:val="none"/>
          <w:lang w:eastAsia="zh-CN"/>
        </w:rPr>
        <w:t>代表</w:t>
      </w:r>
      <w:r>
        <w:rPr>
          <w:rFonts w:hint="eastAsia" w:ascii="宋体" w:hAnsi="宋体" w:eastAsia="宋体" w:cs="宋体"/>
          <w:b/>
          <w:bCs/>
          <w:color w:val="auto"/>
          <w:sz w:val="24"/>
          <w:highlight w:val="none"/>
        </w:rPr>
        <w:t>人或其授权的代理人签字。</w:t>
      </w:r>
    </w:p>
    <w:p w14:paraId="0B5B9DF7">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采用银行保函形式提交</w:t>
      </w:r>
      <w:r>
        <w:rPr>
          <w:rFonts w:hint="eastAsia" w:ascii="宋体" w:hAnsi="宋体" w:eastAsia="宋体" w:cs="宋体"/>
          <w:b/>
          <w:bCs/>
          <w:color w:val="auto"/>
          <w:sz w:val="24"/>
          <w:highlight w:val="none"/>
          <w:lang w:val="en-US" w:eastAsia="zh-CN"/>
        </w:rPr>
        <w:t>询比</w:t>
      </w:r>
      <w:r>
        <w:rPr>
          <w:rFonts w:hint="eastAsia" w:ascii="宋体" w:hAnsi="宋体" w:eastAsia="宋体" w:cs="宋体"/>
          <w:b/>
          <w:bCs/>
          <w:color w:val="auto"/>
          <w:sz w:val="24"/>
          <w:highlight w:val="none"/>
        </w:rPr>
        <w:t>保证金的，银行保函原件复印件应密封在单独的封套中。</w:t>
      </w:r>
    </w:p>
    <w:p w14:paraId="07771112">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非加密响应文件及银行保函封套上应写明的内容要求见供应商须知前附表。</w:t>
      </w:r>
    </w:p>
    <w:p w14:paraId="52B5D2CF">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非加密响应文件及银行保函未按规定封装或加写标记，采购人将不承担响应文件未被开启或提前开启的责任。</w:t>
      </w:r>
    </w:p>
    <w:p w14:paraId="621A174C">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16.3供应商应当在规定的</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截止时间前，将加密响应文件在电子交易系统上传。</w:t>
      </w:r>
    </w:p>
    <w:p w14:paraId="4F3BD0BF">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16.4 供应商递交非加密响应文件的地点：见供应商须知前附表。采购人收到非加密响应文件后由供应商代表登记或向供应商出具签收凭证。</w:t>
      </w:r>
    </w:p>
    <w:p w14:paraId="5D0621F7">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16.5 除供应商须知前附表另有规定外，供应商所递交的响应文件不予退还。</w:t>
      </w:r>
    </w:p>
    <w:p w14:paraId="736BD18A">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16.6 供应商应当在</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截止时间前完成响应文件的传输递交（以接收到电子签收凭证为准），并可以补充、修改或者撤回响应文件。</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截止时间前未完成响应文件传输的，视为撤回响应文件。未按规定加密或</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截止时间后送达的响应文件，电子交易系统应当拒收。</w:t>
      </w:r>
    </w:p>
    <w:p w14:paraId="35A98DFB">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16.7 如供应商须知前附表允许递交非加密响应文件，供应商逾期送达的或者未送达指定地点的非加密响应文件，</w:t>
      </w:r>
      <w:r>
        <w:rPr>
          <w:rFonts w:hint="eastAsia" w:ascii="宋体" w:hAnsi="宋体" w:eastAsia="宋体" w:cs="宋体"/>
          <w:b/>
          <w:bCs/>
          <w:color w:val="auto"/>
          <w:sz w:val="24"/>
          <w:highlight w:val="none"/>
          <w:lang w:val="en-US" w:eastAsia="zh-CN"/>
        </w:rPr>
        <w:t>采购人</w:t>
      </w:r>
      <w:r>
        <w:rPr>
          <w:rFonts w:hint="eastAsia" w:ascii="宋体" w:hAnsi="宋体" w:eastAsia="宋体" w:cs="宋体"/>
          <w:b/>
          <w:bCs/>
          <w:color w:val="auto"/>
          <w:sz w:val="24"/>
          <w:highlight w:val="none"/>
        </w:rPr>
        <w:t>不予接收，但不影响其已按邀请</w:t>
      </w:r>
      <w:r>
        <w:rPr>
          <w:rFonts w:hint="eastAsia" w:ascii="宋体" w:hAnsi="宋体" w:eastAsia="宋体" w:cs="宋体"/>
          <w:b/>
          <w:bCs/>
          <w:color w:val="auto"/>
          <w:sz w:val="24"/>
          <w:highlight w:val="none"/>
          <w:lang w:val="en-US" w:eastAsia="zh-CN"/>
        </w:rPr>
        <w:t>采购</w:t>
      </w:r>
      <w:r>
        <w:rPr>
          <w:rFonts w:hint="eastAsia" w:ascii="宋体" w:hAnsi="宋体" w:eastAsia="宋体" w:cs="宋体"/>
          <w:b/>
          <w:bCs/>
          <w:color w:val="auto"/>
          <w:sz w:val="24"/>
          <w:highlight w:val="none"/>
        </w:rPr>
        <w:t>文件要求从电子交易系统递交的加密响应文件的有效性。未从电子交易系统递交加密响应文件的，供应商递交的非加密响应文件将被视为无效。</w:t>
      </w:r>
    </w:p>
    <w:p w14:paraId="5D0383F6">
      <w:pPr>
        <w:spacing w:line="360" w:lineRule="auto"/>
        <w:ind w:firstLine="435"/>
        <w:rPr>
          <w:rFonts w:ascii="宋体" w:hAnsi="宋体" w:eastAsia="宋体" w:cs="宋体"/>
          <w:b/>
          <w:bCs/>
          <w:color w:val="auto"/>
          <w:sz w:val="24"/>
          <w:highlight w:val="none"/>
        </w:rPr>
      </w:pPr>
      <w:bookmarkStart w:id="31" w:name="_Hlk26635176"/>
      <w:r>
        <w:rPr>
          <w:rFonts w:hint="eastAsia" w:ascii="宋体" w:hAnsi="宋体" w:eastAsia="宋体" w:cs="宋体"/>
          <w:b/>
          <w:bCs/>
          <w:color w:val="auto"/>
          <w:sz w:val="24"/>
          <w:highlight w:val="none"/>
        </w:rPr>
        <w:t>16.8 供应商在规定的解密开始规定时间（以电子交易系统解密倒计时为准）内完成响应文件的解密工作，未能成功解密的供应商，如供应商须知前附表允许使用非加密响应文件作为备份，并且供应商在</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之前到达开标现场并递交非加密响应文件（或通过邮件的方式发送），则可导入非加密响应文件继续开标。若电子交易系统识别出非加密响应文件和加密响应文件识别码不一致，电子交易系统将拒绝导入。</w:t>
      </w:r>
      <w:bookmarkEnd w:id="31"/>
    </w:p>
    <w:p w14:paraId="1DDFC031">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17.响应文件的提交、修改与撤回</w:t>
      </w:r>
    </w:p>
    <w:p w14:paraId="000AAF23">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17.1 在本章在规定的</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截止时间前，供应商可以修改或撤回已递交的响应文件。供应商对加密响应文件进行撤回的，应在电子交易系统直接进行撤回操作；供应商对加密响应文件进行修改的，应在响应截止时间前完成上传。供应商修改响应文件的，应使用“响应文件制作工具”制作成完整的响应文件，并按规定进行编制、加密和递交。</w:t>
      </w:r>
    </w:p>
    <w:p w14:paraId="7DDEF3C6">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17.2 供应商修改或撤回已递交的非加密响应文件的，应当以书面形式通知采购人。书面通知应按要求签字或盖章。采购人收到书面通知后，向供应商出具签收凭证。</w:t>
      </w:r>
    </w:p>
    <w:p w14:paraId="38BE121E">
      <w:pPr>
        <w:spacing w:line="360" w:lineRule="auto"/>
        <w:ind w:firstLine="437"/>
        <w:outlineLvl w:val="9"/>
        <w:rPr>
          <w:rFonts w:hint="eastAsia" w:ascii="宋体" w:cs="宋体"/>
          <w:bCs/>
          <w:color w:val="auto"/>
          <w:sz w:val="24"/>
          <w:szCs w:val="24"/>
          <w:highlight w:val="none"/>
        </w:rPr>
      </w:pPr>
      <w:r>
        <w:rPr>
          <w:rFonts w:hint="eastAsia" w:ascii="宋体" w:cs="宋体"/>
          <w:bCs/>
          <w:color w:val="auto"/>
          <w:sz w:val="24"/>
          <w:szCs w:val="24"/>
          <w:highlight w:val="none"/>
        </w:rPr>
        <w:t>18.询比小组</w:t>
      </w:r>
    </w:p>
    <w:p w14:paraId="43EB1271">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18.1本项目将依法组建询比小组，询比小组成员由3人及以上单数组成，询比小组及其成员应当依照采购的有关规定履行相关职责和义务。</w:t>
      </w:r>
    </w:p>
    <w:p w14:paraId="17157E91">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18.2询比小组依法对响应文件进行评审，并根据询比文件规定的程序、评定成交的标准等事项与实质性响应询比文件要求的供应商进行询比。</w:t>
      </w:r>
    </w:p>
    <w:p w14:paraId="4AFFC68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18.3询比小组应当从质量和服务均能满足询比文件实质性响应要求的供应商中，按照评审方法和标准推荐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，并编写评审报告。</w:t>
      </w:r>
    </w:p>
    <w:p w14:paraId="6772CC4B">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19.响应文件的评审与询比</w:t>
      </w:r>
    </w:p>
    <w:p w14:paraId="2BCBCDBF">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19.1采购人和采购代理机构将在</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规定的时间和地点组织询比。</w:t>
      </w:r>
    </w:p>
    <w:p w14:paraId="28090B63">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19.2询比活动采用综合评分法评审。</w:t>
      </w:r>
    </w:p>
    <w:p w14:paraId="1B53D09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综合评分法，是指响应文件满足询比文件全部实质性要求且按评审因素的量化指标评审得分最高的供应商为</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的评审方法。</w:t>
      </w:r>
    </w:p>
    <w:p w14:paraId="224C3B9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19.3询比小组将按照询比文件规定的评审方法和标准对供应商独立进行评审。评审程序如下：</w:t>
      </w:r>
    </w:p>
    <w:p w14:paraId="2E2BFF94">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19.3.1</w:t>
      </w:r>
      <w:r>
        <w:rPr>
          <w:rFonts w:hint="eastAsia" w:ascii="宋体" w:cs="宋体"/>
          <w:b/>
          <w:color w:val="auto"/>
          <w:sz w:val="24"/>
          <w:szCs w:val="24"/>
          <w:highlight w:val="none"/>
        </w:rPr>
        <w:t>初审</w:t>
      </w:r>
      <w:r>
        <w:rPr>
          <w:rFonts w:hint="eastAsia" w:ascii="宋体" w:cs="宋体"/>
          <w:color w:val="auto"/>
          <w:sz w:val="24"/>
          <w:szCs w:val="24"/>
          <w:highlight w:val="none"/>
        </w:rPr>
        <w:t>。询比小组对供应商必须满足和实质性响应的内容进行评审，供应商未实质性响应询比文件要求导致响应无效的，询比小组将以</w:t>
      </w:r>
      <w:r>
        <w:rPr>
          <w:rFonts w:hint="eastAsia" w:ascii="宋体" w:cs="宋体"/>
          <w:color w:val="auto"/>
          <w:sz w:val="24"/>
          <w:szCs w:val="24"/>
          <w:highlight w:val="none"/>
          <w:lang w:eastAsia="zh-CN"/>
        </w:rPr>
        <w:t>电子</w:t>
      </w:r>
      <w:r>
        <w:rPr>
          <w:rFonts w:hint="eastAsia" w:ascii="宋体" w:cs="宋体"/>
          <w:color w:val="auto"/>
          <w:sz w:val="24"/>
          <w:szCs w:val="24"/>
          <w:highlight w:val="none"/>
        </w:rPr>
        <w:t>询标的方式告知有关供应商。</w:t>
      </w:r>
    </w:p>
    <w:p w14:paraId="1BD7634F">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采购人或采购代理机构将在响应文件提交截止时间后至评审结束前查询供应商的信用记录。供应商存在不良信用记录的，其响应文件将被认定为</w:t>
      </w:r>
      <w:r>
        <w:rPr>
          <w:rFonts w:hint="eastAsia" w:ascii="宋体" w:cs="宋体"/>
          <w:b/>
          <w:color w:val="auto"/>
          <w:sz w:val="24"/>
          <w:szCs w:val="24"/>
          <w:highlight w:val="none"/>
        </w:rPr>
        <w:t>响应无效</w:t>
      </w:r>
      <w:r>
        <w:rPr>
          <w:rFonts w:hint="eastAsia" w:ascii="宋体" w:cs="宋体"/>
          <w:color w:val="auto"/>
          <w:sz w:val="24"/>
          <w:szCs w:val="24"/>
          <w:highlight w:val="none"/>
        </w:rPr>
        <w:t>。</w:t>
      </w:r>
    </w:p>
    <w:p w14:paraId="103A5FC5">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cs="宋体"/>
          <w:color w:val="auto"/>
          <w:sz w:val="24"/>
          <w:szCs w:val="24"/>
          <w:highlight w:val="none"/>
        </w:rPr>
        <w:t>19.3.1.1不良信用记录指：</w:t>
      </w:r>
      <w:r>
        <w:rPr>
          <w:rFonts w:hint="eastAsia" w:ascii="宋体" w:hAnsi="宋体" w:eastAsia="宋体" w:cs="宋体"/>
          <w:color w:val="auto"/>
          <w:sz w:val="24"/>
          <w:szCs w:val="24"/>
          <w:highlight w:val="none"/>
          <w:lang w:val="en-US" w:eastAsia="zh-CN"/>
        </w:rPr>
        <w:t>（1）供应商被人民法院列入失信被执行人的；</w:t>
      </w:r>
    </w:p>
    <w:p w14:paraId="649CC833">
      <w:pPr>
        <w:spacing w:line="360" w:lineRule="auto"/>
        <w:rPr>
          <w:rFonts w:hint="eastAsia" w:ascii="宋体" w:cs="宋体"/>
          <w:color w:val="auto"/>
          <w:sz w:val="24"/>
          <w:szCs w:val="24"/>
          <w:highlight w:val="none"/>
        </w:rPr>
      </w:pPr>
      <w:r>
        <w:rPr>
          <w:rFonts w:hint="eastAsia" w:ascii="宋体" w:hAnsi="宋体" w:eastAsia="宋体" w:cs="宋体"/>
          <w:color w:val="auto"/>
          <w:sz w:val="24"/>
          <w:szCs w:val="24"/>
          <w:highlight w:val="none"/>
          <w:lang w:val="en-US" w:eastAsia="zh-CN"/>
        </w:rPr>
        <w:t>（2）供应商被税务部门列入重大税收违法失信主体的；（3）供应商被政府采购监管部门列入严重违法失信行为记录名单的。</w:t>
      </w:r>
    </w:p>
    <w:p w14:paraId="438927B7">
      <w:pPr>
        <w:spacing w:line="360" w:lineRule="auto"/>
        <w:ind w:firstLine="360" w:firstLineChars="150"/>
        <w:outlineLvl w:val="9"/>
        <w:rPr>
          <w:rFonts w:hint="eastAsia" w:ascii="宋体" w:cs="宋体"/>
          <w:color w:val="auto"/>
          <w:sz w:val="24"/>
          <w:szCs w:val="24"/>
          <w:highlight w:val="none"/>
        </w:rPr>
      </w:pPr>
      <w:r>
        <w:rPr>
          <w:rFonts w:hint="eastAsia" w:ascii="宋体" w:cs="宋体"/>
          <w:color w:val="auto"/>
          <w:sz w:val="24"/>
          <w:szCs w:val="24"/>
          <w:highlight w:val="none"/>
        </w:rPr>
        <w:t>以联合体形式参加询比的，联合体任何成员存在以上不良信用记录的，联合体询比将被认定为</w:t>
      </w:r>
      <w:r>
        <w:rPr>
          <w:rFonts w:hint="eastAsia" w:ascii="宋体" w:cs="宋体"/>
          <w:b/>
          <w:color w:val="auto"/>
          <w:sz w:val="24"/>
          <w:szCs w:val="24"/>
          <w:highlight w:val="none"/>
        </w:rPr>
        <w:t>响应无效</w:t>
      </w:r>
      <w:r>
        <w:rPr>
          <w:rFonts w:hint="eastAsia" w:ascii="宋体" w:cs="宋体"/>
          <w:color w:val="auto"/>
          <w:sz w:val="24"/>
          <w:szCs w:val="24"/>
          <w:highlight w:val="none"/>
        </w:rPr>
        <w:t>。</w:t>
      </w:r>
    </w:p>
    <w:p w14:paraId="6DD0D8C0">
      <w:pPr>
        <w:spacing w:line="360" w:lineRule="auto"/>
        <w:ind w:firstLine="470" w:firstLineChars="196"/>
        <w:outlineLvl w:val="9"/>
        <w:rPr>
          <w:rFonts w:hint="eastAsia" w:ascii="宋体" w:eastAsia="宋体" w:cs="宋体"/>
          <w:color w:val="auto"/>
          <w:sz w:val="24"/>
          <w:szCs w:val="24"/>
          <w:highlight w:val="none"/>
          <w:lang w:eastAsia="zh-CN"/>
        </w:rPr>
      </w:pPr>
      <w:r>
        <w:rPr>
          <w:rFonts w:hint="eastAsia" w:ascii="宋体" w:cs="宋体"/>
          <w:color w:val="auto"/>
          <w:sz w:val="24"/>
          <w:szCs w:val="24"/>
          <w:highlight w:val="none"/>
        </w:rPr>
        <w:t>19.3.1.2</w:t>
      </w:r>
      <w:r>
        <w:rPr>
          <w:rFonts w:hint="eastAsia" w:ascii="宋体" w:cs="宋体"/>
          <w:b/>
          <w:bCs/>
          <w:color w:val="auto"/>
          <w:sz w:val="24"/>
          <w:szCs w:val="24"/>
          <w:highlight w:val="none"/>
        </w:rPr>
        <w:t>信用信息查询渠道：“信用中国”网站(www.creditchina.gov.cn)、中国政府采购网(www.ccgp.gov.cn)</w:t>
      </w:r>
      <w:r>
        <w:rPr>
          <w:rFonts w:hint="eastAsia" w:ascii="宋体" w:eastAsia="宋体" w:cs="宋体"/>
          <w:b/>
          <w:bCs/>
          <w:color w:val="auto"/>
          <w:sz w:val="24"/>
          <w:szCs w:val="24"/>
          <w:highlight w:val="none"/>
        </w:rPr>
        <w:t>。</w:t>
      </w:r>
      <w:r>
        <w:rPr>
          <w:rFonts w:hint="eastAsia" w:ascii="宋体" w:eastAsia="宋体" w:cs="宋体"/>
          <w:b/>
          <w:bCs/>
          <w:color w:val="auto"/>
          <w:sz w:val="24"/>
          <w:szCs w:val="24"/>
          <w:highlight w:val="none"/>
          <w:lang w:eastAsia="zh-CN"/>
        </w:rPr>
        <w:t>”</w:t>
      </w:r>
    </w:p>
    <w:p w14:paraId="430EB04B">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19.3.1.3信用信息记录方式：采购人或采购代理机构工作人员将查询网页存档备查。供应商不良信用记录以采购人或采购代理机构查询结果为准。</w:t>
      </w:r>
    </w:p>
    <w:p w14:paraId="026B950D">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在本询比文件规定的查询时间之外，网站信息发生的任何变更均不作为初审依据。</w:t>
      </w:r>
    </w:p>
    <w:p w14:paraId="59BEAAB3">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供应商自行提供的与网站信息不一致的其他证明材料亦不作为资格审查依据。</w:t>
      </w:r>
    </w:p>
    <w:p w14:paraId="753A195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19.3.2</w:t>
      </w:r>
      <w:r>
        <w:rPr>
          <w:rFonts w:hint="eastAsia" w:ascii="宋体" w:cs="宋体"/>
          <w:b/>
          <w:color w:val="auto"/>
          <w:sz w:val="24"/>
          <w:szCs w:val="24"/>
          <w:highlight w:val="none"/>
        </w:rPr>
        <w:t>综合评分</w:t>
      </w:r>
      <w:r>
        <w:rPr>
          <w:rFonts w:hint="eastAsia" w:ascii="宋体" w:cs="宋体"/>
          <w:color w:val="auto"/>
          <w:sz w:val="24"/>
          <w:szCs w:val="24"/>
          <w:highlight w:val="none"/>
        </w:rPr>
        <w:t>。询比小组只对通过初审，实质上响应询比文件要求的响应文件进行综合评分。由询比小组采用综合评分法对通过初审的供应商的响应文件进行综合评分。</w:t>
      </w:r>
    </w:p>
    <w:p w14:paraId="652E6EC5">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19.4相关说明。</w:t>
      </w:r>
    </w:p>
    <w:p w14:paraId="5679374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19.4.1为保证询比活动顺利进行，供应商可派相关技术人员进行现场答疑；</w:t>
      </w:r>
    </w:p>
    <w:p w14:paraId="4A567387">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19.4.2询比小组根据与供应商询比情况可能实质性变动询比文件的内容，包括采购需求中的技术、服务要求以及合同草案条款。询比文件有实质性变动的，经采购人代表确认作为询比文件的有效组成部分，询比小组将以书面形式通知所有参加询比的供应商。</w:t>
      </w:r>
    </w:p>
    <w:p w14:paraId="71C1E12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19.4.3询比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响应无效。</w:t>
      </w:r>
    </w:p>
    <w:p w14:paraId="37009EF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19.4.4无论何种原因，即使供应商询比时携带了证书材料的原件，但响应文件中未提供与之内容完全一致的扫描件或影印件的，询比小组可以视同其未提供。</w:t>
      </w:r>
    </w:p>
    <w:p w14:paraId="2E057FF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19.4.5询比小组决定响应文件的响应性及符合性只根据响应文件本身的内容，而不寻求其他外部证据。</w:t>
      </w:r>
    </w:p>
    <w:p w14:paraId="17DC4FF1">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 xml:space="preserve">19.5供应商授权代表对询比过程有疑义，以及认为采购人、采购代理机构相关工作人员有需要回避的情形的，应当场提出询问或者回避申请，并说明理由。 </w:t>
      </w:r>
    </w:p>
    <w:p w14:paraId="33E9E39F">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20.终止询比</w:t>
      </w:r>
    </w:p>
    <w:p w14:paraId="7D0DAF0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20.1出现下列情况之一时，采购人和采购代理机构有权宣布终止询比采购，并将理由通知所有供应商：</w:t>
      </w:r>
    </w:p>
    <w:p w14:paraId="313042E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（1）有效供应商数量不足3家，导致本次询比缺乏竞争的；</w:t>
      </w:r>
    </w:p>
    <w:p w14:paraId="5DD4574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（2）出现影响采购公正的违法、违规行为的；</w:t>
      </w:r>
    </w:p>
    <w:p w14:paraId="1D310CA3">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（3）因重大变故，采购任务取消的；</w:t>
      </w:r>
    </w:p>
    <w:p w14:paraId="1CCF23D5">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（4）有关规定约定的其他情形。</w:t>
      </w:r>
    </w:p>
    <w:p w14:paraId="07DF7836">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21.响应文件的澄清、说明或更正</w:t>
      </w:r>
    </w:p>
    <w:p w14:paraId="348B75CD">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21.1询比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058762D">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21.2询比小组要求供应商澄清、说明或者更正响应文件应当以书面形式（询标）作出。供应商的澄清、说明或者更正应当由法定代表人或其授权代表签字或者加盖公章。</w:t>
      </w:r>
    </w:p>
    <w:p w14:paraId="23B5F9FF">
      <w:pPr>
        <w:spacing w:line="360" w:lineRule="auto"/>
        <w:ind w:firstLine="435"/>
        <w:outlineLvl w:val="9"/>
        <w:rPr>
          <w:rFonts w:hint="eastAsia" w:ascii="宋体" w:cs="宋体"/>
          <w:color w:val="auto"/>
          <w:sz w:val="24"/>
          <w:szCs w:val="24"/>
          <w:highlight w:val="none"/>
        </w:rPr>
      </w:pPr>
      <w:r>
        <w:rPr>
          <w:rFonts w:hint="eastAsia" w:ascii="宋体" w:cs="宋体"/>
          <w:b/>
          <w:color w:val="auto"/>
          <w:sz w:val="24"/>
          <w:szCs w:val="24"/>
          <w:highlight w:val="none"/>
        </w:rPr>
        <w:t>如有询标，因授权代表联系不上</w:t>
      </w:r>
      <w:r>
        <w:rPr>
          <w:rFonts w:hint="eastAsia" w:ascii="宋体" w:cs="宋体"/>
          <w:b/>
          <w:bCs/>
          <w:color w:val="auto"/>
          <w:sz w:val="24"/>
          <w:szCs w:val="24"/>
          <w:highlight w:val="none"/>
        </w:rPr>
        <w:t>、</w:t>
      </w:r>
      <w:r>
        <w:rPr>
          <w:rFonts w:hint="eastAsia" w:ascii="宋体" w:cs="宋体"/>
          <w:b/>
          <w:color w:val="auto"/>
          <w:sz w:val="24"/>
          <w:szCs w:val="24"/>
          <w:highlight w:val="none"/>
        </w:rPr>
        <w:t>未</w:t>
      </w:r>
      <w:r>
        <w:rPr>
          <w:rFonts w:hint="eastAsia" w:ascii="宋体" w:cs="宋体"/>
          <w:b/>
          <w:color w:val="auto"/>
          <w:sz w:val="24"/>
          <w:szCs w:val="24"/>
          <w:highlight w:val="none"/>
          <w:lang w:eastAsia="zh-CN"/>
        </w:rPr>
        <w:t>在规定时间提交澄清</w:t>
      </w:r>
      <w:r>
        <w:rPr>
          <w:rFonts w:hint="eastAsia" w:ascii="宋体" w:cs="宋体"/>
          <w:b/>
          <w:bCs/>
          <w:color w:val="auto"/>
          <w:sz w:val="24"/>
          <w:szCs w:val="24"/>
          <w:highlight w:val="none"/>
        </w:rPr>
        <w:t>等情形</w:t>
      </w:r>
      <w:r>
        <w:rPr>
          <w:rFonts w:hint="eastAsia" w:ascii="宋体" w:cs="宋体"/>
          <w:b/>
          <w:color w:val="auto"/>
          <w:sz w:val="24"/>
          <w:szCs w:val="24"/>
          <w:highlight w:val="none"/>
        </w:rPr>
        <w:t>，供应商自行承担相关风险。</w:t>
      </w:r>
    </w:p>
    <w:p w14:paraId="56C68AFA">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21.3响应文件报价或询比过程中的报价出现不一致的，按照下列规定修正：</w:t>
      </w:r>
    </w:p>
    <w:p w14:paraId="4CC95B71">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（1）响应文件中报价表内容与分项报价明细表中相应内容不一致的，以报价表为准；</w:t>
      </w:r>
    </w:p>
    <w:p w14:paraId="6D1284B6">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（2）大写金额和小写金额不一致的，以大写金额为准；</w:t>
      </w:r>
    </w:p>
    <w:p w14:paraId="0B96AA11">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（3）单价金额小数点或者百分比有明显错位的，以报价表的总价为准，并修改单价；</w:t>
      </w:r>
    </w:p>
    <w:p w14:paraId="391D3291">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（4）总价金额与按单价汇总金额不一致的，以单价金额计算结果为准。</w:t>
      </w:r>
    </w:p>
    <w:p w14:paraId="2B76BE6A">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同时出现两种以上不一致的，按照前款规定的顺序修正。修正后的报价按照第21.1、21.2条的规定经供应商确认后产生约束力，供应商不确认的，其响应将被认定为</w:t>
      </w:r>
      <w:r>
        <w:rPr>
          <w:rFonts w:hint="eastAsia" w:ascii="宋体" w:cs="宋体"/>
          <w:b/>
          <w:bCs/>
          <w:color w:val="auto"/>
          <w:sz w:val="24"/>
          <w:szCs w:val="24"/>
          <w:highlight w:val="none"/>
        </w:rPr>
        <w:t>响应无效</w:t>
      </w:r>
      <w:r>
        <w:rPr>
          <w:rFonts w:hint="eastAsia" w:ascii="宋体" w:cs="宋体"/>
          <w:color w:val="auto"/>
          <w:sz w:val="24"/>
          <w:szCs w:val="24"/>
          <w:highlight w:val="none"/>
        </w:rPr>
        <w:t>。</w:t>
      </w:r>
    </w:p>
    <w:p w14:paraId="05CA0238">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22.</w:t>
      </w:r>
      <w:r>
        <w:rPr>
          <w:rFonts w:hint="eastAsia" w:ascii="宋体" w:cs="宋体"/>
          <w:b/>
          <w:color w:val="auto"/>
          <w:sz w:val="24"/>
          <w:szCs w:val="24"/>
          <w:highlight w:val="none"/>
          <w:lang w:eastAsia="zh-CN"/>
        </w:rPr>
        <w:t>成交候选人</w:t>
      </w:r>
      <w:r>
        <w:rPr>
          <w:rFonts w:hint="eastAsia" w:ascii="宋体" w:cs="宋体"/>
          <w:b/>
          <w:color w:val="auto"/>
          <w:sz w:val="24"/>
          <w:szCs w:val="24"/>
          <w:highlight w:val="none"/>
        </w:rPr>
        <w:t>的推荐原则及标准</w:t>
      </w:r>
    </w:p>
    <w:p w14:paraId="6FD82E1C">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22.1询比小组依据本项目询比文件所约定的评审方法和标准，按照有效供应商综合总得分由高到低依次推荐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。综合总得分出现两家或两家以上相同者，按最后报价由低到高排序推荐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；综合总得分且最后报价均相同的，由询比小组按照技术指标优劣顺序推荐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w:t>
      </w:r>
    </w:p>
    <w:p w14:paraId="2671BA0C">
      <w:pPr>
        <w:spacing w:line="360" w:lineRule="auto"/>
        <w:ind w:firstLine="437"/>
        <w:outlineLvl w:val="9"/>
        <w:rPr>
          <w:rFonts w:hint="eastAsia" w:ascii="宋体" w:eastAsia="宋体" w:cs="宋体"/>
          <w:b/>
          <w:color w:val="auto"/>
          <w:sz w:val="24"/>
          <w:szCs w:val="24"/>
          <w:highlight w:val="none"/>
          <w:lang w:eastAsia="zh-CN"/>
        </w:rPr>
      </w:pPr>
      <w:r>
        <w:rPr>
          <w:rFonts w:hint="eastAsia" w:ascii="宋体" w:cs="宋体"/>
          <w:b/>
          <w:color w:val="auto"/>
          <w:sz w:val="24"/>
          <w:szCs w:val="24"/>
          <w:highlight w:val="none"/>
        </w:rPr>
        <w:t>23.确定</w:t>
      </w:r>
      <w:r>
        <w:rPr>
          <w:rFonts w:hint="eastAsia" w:ascii="宋体" w:cs="宋体"/>
          <w:b/>
          <w:color w:val="auto"/>
          <w:sz w:val="24"/>
          <w:szCs w:val="24"/>
          <w:highlight w:val="none"/>
          <w:lang w:eastAsia="zh-CN"/>
        </w:rPr>
        <w:t>成交候选人</w:t>
      </w:r>
    </w:p>
    <w:p w14:paraId="27269A7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23.1询比小组根据综合评分的结果和</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中规定确定</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，并标明排列顺序。</w:t>
      </w:r>
    </w:p>
    <w:p w14:paraId="7120EA9C">
      <w:pPr>
        <w:spacing w:line="360" w:lineRule="auto"/>
        <w:ind w:firstLine="437"/>
        <w:outlineLvl w:val="9"/>
        <w:rPr>
          <w:rFonts w:hint="eastAsia" w:ascii="宋体" w:eastAsia="宋体" w:cs="宋体"/>
          <w:b/>
          <w:color w:val="auto"/>
          <w:sz w:val="24"/>
          <w:szCs w:val="24"/>
          <w:highlight w:val="none"/>
          <w:lang w:eastAsia="zh-CN"/>
        </w:rPr>
      </w:pPr>
      <w:r>
        <w:rPr>
          <w:rFonts w:hint="eastAsia" w:ascii="宋体" w:cs="宋体"/>
          <w:b/>
          <w:color w:val="auto"/>
          <w:sz w:val="24"/>
          <w:szCs w:val="24"/>
          <w:highlight w:val="none"/>
        </w:rPr>
        <w:t>24.确定</w:t>
      </w:r>
      <w:r>
        <w:rPr>
          <w:rFonts w:hint="eastAsia" w:ascii="宋体" w:cs="宋体"/>
          <w:b/>
          <w:color w:val="auto"/>
          <w:sz w:val="24"/>
          <w:szCs w:val="24"/>
          <w:highlight w:val="none"/>
          <w:lang w:eastAsia="zh-CN"/>
        </w:rPr>
        <w:t>成交供应商</w:t>
      </w:r>
    </w:p>
    <w:p w14:paraId="2877E9C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24.1排名第一的</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经采购人或采购人授权的询比小组确定为</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后，由采购代理机构在指定媒体上予以公告。</w:t>
      </w:r>
    </w:p>
    <w:p w14:paraId="031E4C66">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25.编写评审报告</w:t>
      </w:r>
    </w:p>
    <w:p w14:paraId="17F44F3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25.1评审报告是根据全体询比小组成员签字的原始评审记录和评审结果编写的报告，评审报告由询比小组全体成员签字。对评审结论持有异议的询比小组成员可以书面方式阐述其不同意见和理由。询比小组成员拒绝在评审报告上签字且不陈述其不同意见和理由的，视为同意评审结论。</w:t>
      </w:r>
    </w:p>
    <w:p w14:paraId="14A1219D">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26.保密要求</w:t>
      </w:r>
    </w:p>
    <w:p w14:paraId="3A895C5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26.1评审将在严格保密的情况下进行。</w:t>
      </w:r>
    </w:p>
    <w:p w14:paraId="391DECA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26.2有关人员应当遵守评审工作纪律，不得泄露评审文件、评审情况和评审中获悉的国家秘密、商业秘密。</w:t>
      </w:r>
    </w:p>
    <w:p w14:paraId="2D498C74">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27.成交结果公告</w:t>
      </w:r>
    </w:p>
    <w:p w14:paraId="17F92F4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27.1为体现“公开、公平、公正”的原则，询比结束后，采购代理机构将在指定媒体上发布成交结果公告。</w:t>
      </w:r>
    </w:p>
    <w:p w14:paraId="6E5AC63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27.2成交结果公告内容应当包括采购人及其委托的采购代理机构的名称、地址、联系方式，项目名称和项目编号，</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名称、地址和成交金额，成交结果公告期限以及</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中约定进行公告的内容。</w:t>
      </w:r>
    </w:p>
    <w:p w14:paraId="78BBD564">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28.成交通知书</w:t>
      </w:r>
    </w:p>
    <w:p w14:paraId="095172F5">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28.1采购代理机构发布成交结果公告的同时以</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规定的形式向</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发出成交通知书。</w:t>
      </w:r>
    </w:p>
    <w:p w14:paraId="4B89BED5">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28.2成交通知书对采购人和</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具有同等法律效力。成交通知书发出以后，采购人改变成交结果或者</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放弃成交资格，应当承担相应的法律责任。</w:t>
      </w:r>
    </w:p>
    <w:p w14:paraId="1733352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28.3成交通知书是合同的组成部分。</w:t>
      </w:r>
    </w:p>
    <w:p w14:paraId="59028592">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29.告知询比结果</w:t>
      </w:r>
    </w:p>
    <w:p w14:paraId="63AD123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29.1采购代理机构将以</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规定的形式告知询比结果。</w:t>
      </w:r>
    </w:p>
    <w:p w14:paraId="4514C38D">
      <w:pPr>
        <w:spacing w:line="360" w:lineRule="auto"/>
        <w:ind w:firstLine="480" w:firstLineChars="200"/>
        <w:outlineLvl w:val="9"/>
        <w:rPr>
          <w:rFonts w:hint="eastAsia" w:ascii="宋体" w:cs="宋体"/>
          <w:color w:val="auto"/>
          <w:sz w:val="24"/>
          <w:szCs w:val="24"/>
          <w:highlight w:val="none"/>
        </w:rPr>
      </w:pPr>
      <w:r>
        <w:rPr>
          <w:rFonts w:hint="eastAsia" w:ascii="宋体" w:cs="宋体"/>
          <w:color w:val="auto"/>
          <w:sz w:val="24"/>
          <w:szCs w:val="24"/>
          <w:highlight w:val="none"/>
        </w:rPr>
        <w:t>29.2采购代理机构对未成交的供应商不做未成交原因的解释。</w:t>
      </w:r>
    </w:p>
    <w:p w14:paraId="6BCCB6FC">
      <w:pPr>
        <w:spacing w:line="360" w:lineRule="auto"/>
        <w:ind w:firstLine="437"/>
        <w:outlineLvl w:val="9"/>
        <w:rPr>
          <w:rFonts w:hint="default" w:ascii="宋体" w:eastAsia="宋体" w:cs="宋体"/>
          <w:b/>
          <w:color w:val="auto"/>
          <w:sz w:val="24"/>
          <w:szCs w:val="24"/>
          <w:highlight w:val="none"/>
          <w:lang w:val="en-US" w:eastAsia="zh-CN"/>
        </w:rPr>
      </w:pPr>
      <w:r>
        <w:rPr>
          <w:rFonts w:hint="eastAsia" w:ascii="宋体" w:cs="宋体"/>
          <w:b/>
          <w:color w:val="auto"/>
          <w:sz w:val="24"/>
          <w:szCs w:val="24"/>
          <w:highlight w:val="none"/>
        </w:rPr>
        <w:t>30.履约保证金</w:t>
      </w:r>
    </w:p>
    <w:p w14:paraId="32629EC6">
      <w:pPr>
        <w:spacing w:line="360" w:lineRule="auto"/>
        <w:ind w:firstLine="437"/>
        <w:outlineLvl w:val="9"/>
        <w:rPr>
          <w:rFonts w:hint="eastAsia" w:ascii="宋体" w:cs="宋体"/>
          <w:b w:val="0"/>
          <w:bCs/>
          <w:color w:val="auto"/>
          <w:sz w:val="24"/>
          <w:szCs w:val="24"/>
          <w:highlight w:val="none"/>
        </w:rPr>
      </w:pPr>
      <w:r>
        <w:rPr>
          <w:rFonts w:hint="eastAsia" w:ascii="宋体" w:cs="宋体"/>
          <w:b w:val="0"/>
          <w:bCs/>
          <w:color w:val="auto"/>
          <w:sz w:val="24"/>
          <w:szCs w:val="24"/>
          <w:highlight w:val="none"/>
        </w:rPr>
        <w:t>30.1本项目按供应商须知前附表的规定执行。</w:t>
      </w:r>
    </w:p>
    <w:p w14:paraId="378E00DC">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31.成交服务费</w:t>
      </w:r>
    </w:p>
    <w:p w14:paraId="2197896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31.1本项目成交服务费的收取按</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的规定执行。</w:t>
      </w:r>
    </w:p>
    <w:p w14:paraId="4B39DD4A">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32.签订合同</w:t>
      </w:r>
    </w:p>
    <w:p w14:paraId="711C2CB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32.1采购人与</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应当自发出成交通知书之日起30日内签订合同。</w:t>
      </w:r>
    </w:p>
    <w:p w14:paraId="16C59A0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32.2询比文件、</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的响应文件及其澄清文件等，均为签订合同的依据。</w:t>
      </w:r>
    </w:p>
    <w:p w14:paraId="2E22C4F7">
      <w:pPr>
        <w:spacing w:line="360" w:lineRule="auto"/>
        <w:ind w:firstLine="470" w:firstLineChars="196"/>
        <w:outlineLvl w:val="9"/>
        <w:rPr>
          <w:rFonts w:hint="eastAsia" w:ascii="宋体" w:cs="宋体"/>
          <w:color w:val="auto"/>
          <w:sz w:val="24"/>
          <w:szCs w:val="24"/>
          <w:highlight w:val="none"/>
        </w:rPr>
      </w:pPr>
      <w:r>
        <w:rPr>
          <w:rFonts w:hint="eastAsia" w:ascii="宋体" w:cs="宋体"/>
          <w:color w:val="auto"/>
          <w:sz w:val="24"/>
          <w:szCs w:val="24"/>
          <w:highlight w:val="none"/>
        </w:rPr>
        <w:t xml:space="preserve">32.3 </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拒绝与采购人签订合同的，采购人可以按照评审报告推荐的</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名单排序，确定下一</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为</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，也可以重新开展采购活动。</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拒绝签订采购合同的不得参加对该项目重新开展的采购活动。</w:t>
      </w:r>
    </w:p>
    <w:p w14:paraId="3E38C576">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33.廉洁自律规定</w:t>
      </w:r>
    </w:p>
    <w:p w14:paraId="6E287B8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33.1采购代理机构工作人员不得以不正当手段获取采购代理业务，不得与采购人、供应商恶意串通。</w:t>
      </w:r>
    </w:p>
    <w:p w14:paraId="311DDFF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33.2采购代理机构工作人员不得接受采购人或者供应商组织的宴请、旅游、娱乐，不得收受礼品、现金、有价证券等，不得向采购人或者供应商报销应当由个人承担的费用。</w:t>
      </w:r>
    </w:p>
    <w:p w14:paraId="77E8BE73">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34.质疑的提出与接收</w:t>
      </w:r>
    </w:p>
    <w:p w14:paraId="35007710">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34.1供应商认为询比文件、采购过程、成交结果使自己的权益受到损害的，可以向采购人或其委托的采购代理机构提出质疑。</w:t>
      </w:r>
    </w:p>
    <w:p w14:paraId="28A71616">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34.2质疑供应商应按本须知34.4的要求，在</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规定的质疑期内以书面形式提出质疑，超出质疑期提交的质疑将被拒绝。针对同一采购程序环节的质疑应一次性提出。</w:t>
      </w:r>
    </w:p>
    <w:p w14:paraId="2606F80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超出质疑期的、重复提出的、分次提出的或内容、形式不符合询比文件规定的，质疑供应商将承担不利后果。</w:t>
      </w:r>
    </w:p>
    <w:p w14:paraId="5CFFAA42">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34.3采购代理机构质疑函接收部门、联系电话和通讯地址，见</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w:t>
      </w:r>
    </w:p>
    <w:p w14:paraId="79763A7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34.4提出质疑的要求</w:t>
      </w:r>
    </w:p>
    <w:p w14:paraId="1B9283F4">
      <w:pPr>
        <w:spacing w:line="360" w:lineRule="auto"/>
        <w:ind w:firstLine="435"/>
        <w:outlineLvl w:val="9"/>
        <w:rPr>
          <w:rFonts w:hint="eastAsia"/>
          <w:color w:val="auto"/>
          <w:highlight w:val="none"/>
        </w:rPr>
      </w:pPr>
      <w:r>
        <w:rPr>
          <w:rFonts w:hint="eastAsia" w:ascii="宋体" w:cs="宋体"/>
          <w:color w:val="auto"/>
          <w:sz w:val="24"/>
          <w:szCs w:val="24"/>
          <w:highlight w:val="none"/>
        </w:rPr>
        <w:t>34.4.1质疑应以书面形式实名提出，书面质疑材料参照</w:t>
      </w:r>
      <w:r>
        <w:rPr>
          <w:rFonts w:hint="eastAsia" w:ascii="宋体" w:cs="宋体"/>
          <w:b/>
          <w:bCs/>
          <w:color w:val="auto"/>
          <w:sz w:val="24"/>
          <w:szCs w:val="24"/>
          <w:highlight w:val="none"/>
        </w:rPr>
        <w:t>询比文件第七章</w:t>
      </w:r>
      <w:r>
        <w:rPr>
          <w:rFonts w:hint="eastAsia" w:ascii="宋体" w:cs="宋体"/>
          <w:color w:val="auto"/>
          <w:sz w:val="24"/>
          <w:szCs w:val="24"/>
          <w:highlight w:val="none"/>
        </w:rPr>
        <w:t>填写。</w:t>
      </w:r>
    </w:p>
    <w:p w14:paraId="7869EBF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34.4.2质疑供应商为法人或者其他组织的，应当由法定代表人或其委托代理人（需有委托授权书）签字并加盖公章。</w:t>
      </w:r>
    </w:p>
    <w:p w14:paraId="0C05EA2F">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34.4.3质疑供应商需要修改、补充质疑材料的，应当在质疑期内提交修改或补充材料。</w:t>
      </w:r>
    </w:p>
    <w:p w14:paraId="1E2C4C1C">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34.5质疑不予受理的情形</w:t>
      </w:r>
    </w:p>
    <w:p w14:paraId="33750BD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质疑存在以下情形之一的，不予受理：</w:t>
      </w:r>
    </w:p>
    <w:p w14:paraId="08584B78">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（1）提起质疑的主体不是参与本次采购项目活动的供应商；</w:t>
      </w:r>
    </w:p>
    <w:p w14:paraId="1AC129B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（2）提起质疑的时间超过规定时限的；</w:t>
      </w:r>
    </w:p>
    <w:p w14:paraId="595E692E">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（3）质疑材料不完整的；</w:t>
      </w:r>
    </w:p>
    <w:p w14:paraId="25C5FBA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（4）质疑事项含有主观猜测等内容且未提供有效线索、难以查证的；</w:t>
      </w:r>
    </w:p>
    <w:p w14:paraId="12BD3D4D">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（5）对其他供应商的响应文件详细内容质疑，无法提供合法来源渠道的；</w:t>
      </w:r>
    </w:p>
    <w:p w14:paraId="4204D269">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（6）质疑事项已进入投诉处理、行政复议或行政诉讼程序的。</w:t>
      </w:r>
    </w:p>
    <w:p w14:paraId="21BA72AA">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34.6经审查符合质疑条件的，自收到质疑之日起即为受理。采购代理机构将在质疑受理后7个工作日内作出答复或相关处理决定（需要检验、检测、鉴定、专家评审的，所需时间不计算在内），并以书面形式通知质疑供应商，答复的内容将不涉及商业秘密。</w:t>
      </w:r>
    </w:p>
    <w:p w14:paraId="78C7D245">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34.7质疑供应商在答复期满前撤回质疑的，应由法定代表人或授权代表人签字确认，采购代理机构即终止质疑处理程序。撤回质疑后，质疑供应商不得以同一理由再次提出质疑。</w:t>
      </w:r>
    </w:p>
    <w:p w14:paraId="636F412B">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34.8质疑供应商有下列情形之一的，属于虚假、恶意质疑，采购代理机构将报采购人予以处理。</w:t>
      </w:r>
    </w:p>
    <w:p w14:paraId="45599684">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（1）一年内三次以上质疑均查无实据的；</w:t>
      </w:r>
    </w:p>
    <w:p w14:paraId="22331B72">
      <w:pPr>
        <w:spacing w:line="360" w:lineRule="auto"/>
        <w:ind w:firstLine="435"/>
        <w:outlineLvl w:val="9"/>
        <w:rPr>
          <w:rFonts w:hint="eastAsia" w:ascii="宋体" w:cs="宋体"/>
          <w:color w:val="auto"/>
          <w:sz w:val="24"/>
          <w:szCs w:val="24"/>
          <w:highlight w:val="none"/>
        </w:rPr>
      </w:pPr>
      <w:r>
        <w:rPr>
          <w:rFonts w:hint="eastAsia" w:ascii="宋体" w:cs="宋体"/>
          <w:color w:val="auto"/>
          <w:sz w:val="24"/>
          <w:szCs w:val="24"/>
          <w:highlight w:val="none"/>
        </w:rPr>
        <w:t>（2）捏造事实恶意诬陷他人、有意提供虚假质疑材料的或者通过非法手段获取材料的。</w:t>
      </w:r>
    </w:p>
    <w:p w14:paraId="68C7D4A5">
      <w:pPr>
        <w:spacing w:line="360" w:lineRule="auto"/>
        <w:ind w:firstLine="437"/>
        <w:outlineLvl w:val="9"/>
        <w:rPr>
          <w:rFonts w:hint="eastAsia" w:ascii="宋体" w:cs="宋体"/>
          <w:b/>
          <w:color w:val="auto"/>
          <w:sz w:val="24"/>
          <w:szCs w:val="24"/>
          <w:highlight w:val="none"/>
        </w:rPr>
      </w:pPr>
      <w:r>
        <w:rPr>
          <w:rFonts w:hint="eastAsia" w:ascii="宋体" w:cs="宋体"/>
          <w:b/>
          <w:color w:val="auto"/>
          <w:sz w:val="24"/>
          <w:szCs w:val="24"/>
          <w:highlight w:val="none"/>
        </w:rPr>
        <w:t>35.需要补充的其他内容</w:t>
      </w:r>
    </w:p>
    <w:p w14:paraId="0F8577F1">
      <w:pPr>
        <w:pStyle w:val="5"/>
        <w:rPr>
          <w:rFonts w:hint="eastAsia" w:ascii="宋体" w:cs="宋体"/>
          <w:color w:val="auto"/>
          <w:sz w:val="24"/>
          <w:szCs w:val="24"/>
          <w:highlight w:val="none"/>
        </w:rPr>
      </w:pPr>
      <w:r>
        <w:rPr>
          <w:rFonts w:hint="eastAsia" w:ascii="宋体" w:cs="宋体"/>
          <w:color w:val="auto"/>
          <w:sz w:val="24"/>
          <w:szCs w:val="24"/>
          <w:highlight w:val="none"/>
        </w:rPr>
        <w:t>需要补充的其他内容，见</w:t>
      </w:r>
      <w:r>
        <w:rPr>
          <w:rFonts w:hint="eastAsia" w:ascii="宋体" w:cs="宋体"/>
          <w:color w:val="auto"/>
          <w:sz w:val="24"/>
          <w:szCs w:val="24"/>
          <w:highlight w:val="none"/>
          <w:u w:val="single"/>
        </w:rPr>
        <w:t>供应商须知前附表</w:t>
      </w:r>
      <w:r>
        <w:rPr>
          <w:rFonts w:hint="eastAsia" w:ascii="宋体" w:cs="宋体"/>
          <w:color w:val="auto"/>
          <w:sz w:val="24"/>
          <w:szCs w:val="24"/>
          <w:highlight w:val="none"/>
        </w:rPr>
        <w:t>。</w:t>
      </w:r>
    </w:p>
    <w:p w14:paraId="338FDF59">
      <w:pPr>
        <w:widowControl/>
        <w:jc w:val="left"/>
        <w:rPr>
          <w:rFonts w:hint="eastAsia" w:ascii="宋体"/>
          <w:b/>
          <w:color w:val="auto"/>
          <w:sz w:val="28"/>
          <w:highlight w:val="none"/>
        </w:rPr>
      </w:pPr>
    </w:p>
    <w:p w14:paraId="47B6BEE4">
      <w:pPr>
        <w:spacing w:line="360" w:lineRule="auto"/>
        <w:jc w:val="center"/>
        <w:outlineLvl w:val="0"/>
        <w:rPr>
          <w:rFonts w:hint="eastAsia" w:ascii="宋体"/>
          <w:b/>
          <w:color w:val="auto"/>
          <w:sz w:val="28"/>
          <w:highlight w:val="none"/>
        </w:rPr>
      </w:pPr>
      <w:r>
        <w:rPr>
          <w:rFonts w:hint="eastAsia" w:ascii="宋体"/>
          <w:b/>
          <w:color w:val="auto"/>
          <w:sz w:val="28"/>
          <w:highlight w:val="none"/>
        </w:rPr>
        <w:br w:type="page"/>
      </w:r>
      <w:bookmarkStart w:id="32" w:name="_Toc28792"/>
      <w:r>
        <w:rPr>
          <w:rFonts w:hint="eastAsia" w:ascii="宋体"/>
          <w:b/>
          <w:color w:val="auto"/>
          <w:sz w:val="28"/>
          <w:highlight w:val="none"/>
        </w:rPr>
        <w:t>第三章  采购需求</w:t>
      </w:r>
      <w:bookmarkEnd w:id="32"/>
    </w:p>
    <w:p w14:paraId="61620C06">
      <w:pPr>
        <w:spacing w:line="360" w:lineRule="auto"/>
        <w:rPr>
          <w:rFonts w:hint="eastAsia" w:ascii="宋体"/>
          <w:b/>
          <w:color w:val="auto"/>
          <w:sz w:val="28"/>
          <w:szCs w:val="24"/>
          <w:highlight w:val="none"/>
        </w:rPr>
      </w:pPr>
      <w:r>
        <w:rPr>
          <w:rFonts w:hint="eastAsia" w:ascii="宋体"/>
          <w:b/>
          <w:color w:val="auto"/>
          <w:sz w:val="28"/>
          <w:szCs w:val="24"/>
          <w:highlight w:val="none"/>
        </w:rPr>
        <w:t>前注：</w:t>
      </w:r>
    </w:p>
    <w:p w14:paraId="30BB5A98">
      <w:pPr>
        <w:spacing w:line="360" w:lineRule="auto"/>
        <w:ind w:firstLine="480" w:firstLineChars="200"/>
        <w:rPr>
          <w:rFonts w:hint="eastAsia" w:ascii="宋体"/>
          <w:color w:val="auto"/>
          <w:sz w:val="24"/>
          <w:highlight w:val="none"/>
        </w:rPr>
      </w:pPr>
      <w:r>
        <w:rPr>
          <w:rFonts w:hint="eastAsia" w:ascii="宋体"/>
          <w:color w:val="auto"/>
          <w:sz w:val="24"/>
          <w:highlight w:val="none"/>
        </w:rPr>
        <w:t>本说明中提出的技术方案仅为参考，如无明确限制，供应商可以进行优化，提供满足用户实际需要的更优（或者性能实质上不低于的）技术方案，且此方案须经询比小组评审认可。</w:t>
      </w:r>
    </w:p>
    <w:p w14:paraId="628E4A7D">
      <w:pPr>
        <w:spacing w:before="0" w:after="0" w:line="360" w:lineRule="auto"/>
        <w:outlineLvl w:val="9"/>
        <w:rPr>
          <w:rFonts w:hint="eastAsia" w:ascii="宋体" w:eastAsia="宋体" w:cs="宋体"/>
          <w:color w:val="auto"/>
          <w:sz w:val="24"/>
          <w:szCs w:val="24"/>
          <w:highlight w:val="none"/>
        </w:rPr>
      </w:pPr>
      <w:r>
        <w:rPr>
          <w:rFonts w:hint="eastAsia" w:ascii="宋体" w:eastAsia="宋体" w:cs="宋体"/>
          <w:color w:val="auto"/>
          <w:sz w:val="24"/>
          <w:szCs w:val="24"/>
          <w:highlight w:val="none"/>
        </w:rPr>
        <w:t>一、采购需求前附表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967"/>
        <w:gridCol w:w="5549"/>
      </w:tblGrid>
      <w:tr w14:paraId="22F1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0" w:type="pct"/>
            <w:noWrap w:val="0"/>
            <w:vAlign w:val="center"/>
          </w:tcPr>
          <w:p w14:paraId="00BAFB59">
            <w:pPr>
              <w:pStyle w:val="53"/>
              <w:pBdr>
                <w:bottom w:val="none" w:color="auto" w:sz="0" w:space="0"/>
              </w:pBdr>
              <w:tabs>
                <w:tab w:val="clear" w:pos="4153"/>
                <w:tab w:val="clear" w:pos="8306"/>
              </w:tabs>
              <w:adjustRightInd/>
              <w:spacing w:line="240" w:lineRule="auto"/>
              <w:textAlignment w:val="auto"/>
              <w:rPr>
                <w:rFonts w:hint="eastAsia" w:ascii="宋体" w:cs="宋体"/>
                <w:b/>
                <w:color w:val="auto"/>
                <w:szCs w:val="24"/>
                <w:highlight w:val="none"/>
              </w:rPr>
            </w:pPr>
            <w:r>
              <w:rPr>
                <w:rFonts w:hint="eastAsia" w:ascii="宋体" w:cs="宋体"/>
                <w:b/>
                <w:color w:val="auto"/>
                <w:szCs w:val="24"/>
                <w:highlight w:val="none"/>
              </w:rPr>
              <w:t>序号</w:t>
            </w:r>
          </w:p>
        </w:tc>
        <w:tc>
          <w:tcPr>
            <w:tcW w:w="1154" w:type="pct"/>
            <w:noWrap w:val="0"/>
            <w:vAlign w:val="center"/>
          </w:tcPr>
          <w:p w14:paraId="129A9A86">
            <w:pPr>
              <w:pStyle w:val="51"/>
              <w:widowControl w:val="0"/>
              <w:spacing w:before="0" w:beforeAutospacing="0" w:after="0" w:afterAutospacing="0"/>
              <w:rPr>
                <w:rFonts w:hint="eastAsia" w:ascii="宋体" w:cs="宋体"/>
                <w:bCs w:val="0"/>
                <w:color w:val="auto"/>
                <w:sz w:val="24"/>
                <w:szCs w:val="24"/>
                <w:highlight w:val="none"/>
              </w:rPr>
            </w:pPr>
            <w:r>
              <w:rPr>
                <w:rFonts w:hint="eastAsia" w:ascii="宋体" w:cs="宋体"/>
                <w:bCs w:val="0"/>
                <w:color w:val="auto"/>
                <w:sz w:val="24"/>
                <w:szCs w:val="24"/>
                <w:highlight w:val="none"/>
              </w:rPr>
              <w:t>条款名称</w:t>
            </w:r>
          </w:p>
        </w:tc>
        <w:tc>
          <w:tcPr>
            <w:tcW w:w="3255" w:type="pct"/>
            <w:noWrap w:val="0"/>
            <w:vAlign w:val="center"/>
          </w:tcPr>
          <w:p w14:paraId="0540E096">
            <w:pPr>
              <w:pStyle w:val="51"/>
              <w:widowControl w:val="0"/>
              <w:spacing w:before="0" w:beforeAutospacing="0" w:after="0" w:afterAutospacing="0"/>
              <w:rPr>
                <w:rFonts w:hint="eastAsia" w:ascii="宋体" w:cs="宋体"/>
                <w:bCs w:val="0"/>
                <w:color w:val="auto"/>
                <w:sz w:val="24"/>
                <w:szCs w:val="24"/>
                <w:highlight w:val="none"/>
              </w:rPr>
            </w:pPr>
            <w:r>
              <w:rPr>
                <w:rFonts w:hint="eastAsia" w:ascii="宋体" w:cs="宋体"/>
                <w:bCs w:val="0"/>
                <w:color w:val="auto"/>
                <w:sz w:val="24"/>
                <w:szCs w:val="24"/>
                <w:highlight w:val="none"/>
              </w:rPr>
              <w:t>内容、说明与要求</w:t>
            </w:r>
          </w:p>
        </w:tc>
      </w:tr>
      <w:tr w14:paraId="60C7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90" w:type="pct"/>
            <w:noWrap w:val="0"/>
            <w:vAlign w:val="center"/>
          </w:tcPr>
          <w:p w14:paraId="4DB24660">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1</w:t>
            </w:r>
          </w:p>
        </w:tc>
        <w:tc>
          <w:tcPr>
            <w:tcW w:w="1154" w:type="pct"/>
            <w:noWrap w:val="0"/>
            <w:vAlign w:val="center"/>
          </w:tcPr>
          <w:p w14:paraId="7E66A75A">
            <w:pPr>
              <w:pStyle w:val="51"/>
              <w:widowControl w:val="0"/>
              <w:spacing w:before="0" w:beforeAutospacing="0" w:after="0" w:afterAutospacing="0"/>
              <w:rPr>
                <w:rFonts w:hint="eastAsia" w:ascii="宋体" w:cs="宋体"/>
                <w:b w:val="0"/>
                <w:color w:val="auto"/>
                <w:sz w:val="24"/>
                <w:szCs w:val="24"/>
                <w:highlight w:val="none"/>
              </w:rPr>
            </w:pPr>
            <w:r>
              <w:rPr>
                <w:rFonts w:hint="eastAsia" w:ascii="宋体" w:cs="宋体"/>
                <w:b w:val="0"/>
                <w:color w:val="auto"/>
                <w:sz w:val="24"/>
                <w:szCs w:val="24"/>
                <w:highlight w:val="none"/>
              </w:rPr>
              <w:t>付款方式</w:t>
            </w:r>
          </w:p>
        </w:tc>
        <w:tc>
          <w:tcPr>
            <w:tcW w:w="3255" w:type="pct"/>
            <w:noWrap w:val="0"/>
            <w:vAlign w:val="center"/>
          </w:tcPr>
          <w:p w14:paraId="79B834A5">
            <w:pPr>
              <w:pStyle w:val="51"/>
              <w:widowControl w:val="0"/>
              <w:spacing w:before="0" w:beforeAutospacing="0" w:after="0" w:afterAutospacing="0"/>
              <w:jc w:val="both"/>
              <w:rPr>
                <w:rFonts w:hint="eastAsia" w:ascii="宋体" w:cs="宋体"/>
                <w:b w:val="0"/>
                <w:color w:val="auto"/>
                <w:sz w:val="24"/>
                <w:szCs w:val="24"/>
                <w:highlight w:val="none"/>
                <w:lang w:eastAsia="zh-CN"/>
              </w:rPr>
            </w:pPr>
            <w:r>
              <w:rPr>
                <w:rFonts w:hint="eastAsia" w:ascii="宋体" w:cs="宋体"/>
                <w:b w:val="0"/>
                <w:color w:val="auto"/>
                <w:sz w:val="24"/>
                <w:szCs w:val="24"/>
                <w:highlight w:val="none"/>
                <w:lang w:eastAsia="zh-CN"/>
              </w:rPr>
              <w:t>每月依据实际业务量，据实结算。</w:t>
            </w:r>
          </w:p>
        </w:tc>
      </w:tr>
      <w:tr w14:paraId="4885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0" w:type="pct"/>
            <w:noWrap w:val="0"/>
            <w:vAlign w:val="center"/>
          </w:tcPr>
          <w:p w14:paraId="5F8B623F">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2</w:t>
            </w:r>
          </w:p>
        </w:tc>
        <w:tc>
          <w:tcPr>
            <w:tcW w:w="1154" w:type="pct"/>
            <w:noWrap w:val="0"/>
            <w:vAlign w:val="center"/>
          </w:tcPr>
          <w:p w14:paraId="3D78838F">
            <w:pPr>
              <w:pStyle w:val="51"/>
              <w:widowControl w:val="0"/>
              <w:spacing w:before="0" w:beforeAutospacing="0" w:after="0" w:afterAutospacing="0"/>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lang w:eastAsia="zh-CN"/>
              </w:rPr>
              <w:t>服务地点</w:t>
            </w:r>
          </w:p>
        </w:tc>
        <w:tc>
          <w:tcPr>
            <w:tcW w:w="3255" w:type="pct"/>
            <w:noWrap w:val="0"/>
            <w:vAlign w:val="center"/>
          </w:tcPr>
          <w:p w14:paraId="7A521070">
            <w:pPr>
              <w:pStyle w:val="51"/>
              <w:widowControl w:val="0"/>
              <w:spacing w:before="0" w:beforeAutospacing="0" w:after="0" w:afterAutospacing="0"/>
              <w:jc w:val="both"/>
              <w:rPr>
                <w:rFonts w:hint="eastAsia" w:ascii="宋体" w:eastAsia="宋体" w:cs="宋体"/>
                <w:b w:val="0"/>
                <w:color w:val="auto"/>
                <w:sz w:val="24"/>
                <w:szCs w:val="24"/>
                <w:highlight w:val="none"/>
                <w:lang w:val="en-US" w:eastAsia="zh-CN"/>
              </w:rPr>
            </w:pPr>
            <w:r>
              <w:rPr>
                <w:rFonts w:hint="eastAsia" w:ascii="宋体" w:cs="宋体"/>
                <w:b w:val="0"/>
                <w:color w:val="auto"/>
                <w:sz w:val="24"/>
                <w:szCs w:val="24"/>
                <w:highlight w:val="none"/>
                <w:lang w:val="en-US" w:eastAsia="zh-CN"/>
              </w:rPr>
              <w:t>采购人指定地点</w:t>
            </w:r>
          </w:p>
        </w:tc>
      </w:tr>
      <w:tr w14:paraId="7A9F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0" w:type="pct"/>
            <w:noWrap w:val="0"/>
            <w:vAlign w:val="center"/>
          </w:tcPr>
          <w:p w14:paraId="07F78C06">
            <w:pPr>
              <w:pStyle w:val="53"/>
              <w:pBdr>
                <w:bottom w:val="none" w:color="auto" w:sz="0" w:space="0"/>
              </w:pBdr>
              <w:tabs>
                <w:tab w:val="clear" w:pos="4153"/>
                <w:tab w:val="clear" w:pos="8306"/>
              </w:tabs>
              <w:adjustRightInd/>
              <w:spacing w:line="240" w:lineRule="auto"/>
              <w:textAlignment w:val="auto"/>
              <w:rPr>
                <w:rFonts w:hint="eastAsia" w:ascii="宋体" w:cs="宋体"/>
                <w:bCs/>
                <w:color w:val="auto"/>
                <w:szCs w:val="24"/>
                <w:highlight w:val="none"/>
              </w:rPr>
            </w:pPr>
            <w:r>
              <w:rPr>
                <w:rFonts w:hint="eastAsia" w:ascii="宋体" w:cs="宋体"/>
                <w:bCs/>
                <w:color w:val="auto"/>
                <w:szCs w:val="24"/>
                <w:highlight w:val="none"/>
              </w:rPr>
              <w:t>3</w:t>
            </w:r>
          </w:p>
        </w:tc>
        <w:tc>
          <w:tcPr>
            <w:tcW w:w="1154" w:type="pct"/>
            <w:noWrap w:val="0"/>
            <w:vAlign w:val="center"/>
          </w:tcPr>
          <w:p w14:paraId="5E958C69">
            <w:pPr>
              <w:pStyle w:val="51"/>
              <w:widowControl w:val="0"/>
              <w:spacing w:before="0" w:beforeAutospacing="0" w:after="0" w:afterAutospacing="0"/>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lang w:eastAsia="zh-CN"/>
              </w:rPr>
              <w:t>服务期限</w:t>
            </w:r>
          </w:p>
        </w:tc>
        <w:tc>
          <w:tcPr>
            <w:tcW w:w="3255" w:type="pct"/>
            <w:noWrap w:val="0"/>
            <w:vAlign w:val="center"/>
          </w:tcPr>
          <w:p w14:paraId="5EA872B8">
            <w:pPr>
              <w:pStyle w:val="51"/>
              <w:widowControl w:val="0"/>
              <w:spacing w:before="0" w:beforeAutospacing="0" w:after="0" w:afterAutospacing="0"/>
              <w:jc w:val="both"/>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lang w:eastAsia="zh-CN"/>
              </w:rPr>
              <w:t>本项目总服务期限最长不超过3年，首次签订1年合同，首年履约完成后对成交供应商进行评价，评价得分高于80分（含）的成交供应商在采购人后续年度预算到位的情况下，可续签后续2年合同（合同1年1签），评价得分低于80分的不再续签。续签期间成交单价均不高于首次签订合同约定的对应成交单价。</w:t>
            </w:r>
          </w:p>
        </w:tc>
      </w:tr>
    </w:tbl>
    <w:p w14:paraId="2717D6C7">
      <w:pPr>
        <w:numPr>
          <w:ilvl w:val="0"/>
          <w:numId w:val="2"/>
        </w:numPr>
        <w:spacing w:before="0" w:after="0" w:line="360" w:lineRule="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eastAsia="宋体" w:cs="宋体"/>
          <w:color w:val="auto"/>
          <w:sz w:val="24"/>
          <w:szCs w:val="24"/>
          <w:highlight w:val="none"/>
          <w:lang w:eastAsia="zh-CN"/>
        </w:rPr>
        <w:t>项目概况：</w:t>
      </w:r>
    </w:p>
    <w:p w14:paraId="11C9C6B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ins w:id="1" w:author="杨工" w:date="2026-08-12T15:39:09Z"/>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采购人拟选定专业合规的供应商，提供对应服务。劳务人员外包服务（40人，全日制26名和非全日制14名。其中：机修工1名，门卫2名，巡检运维人员37名）。</w:t>
      </w:r>
    </w:p>
    <w:p w14:paraId="68E6D71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ins w:id="2" w:author="杨工" w:date="2026-08-12T15:40:14Z"/>
          <w:rFonts w:ascii="宋体" w:hAnsi="宋体" w:eastAsia="宋体" w:cs="宋体"/>
          <w:color w:val="auto"/>
          <w:sz w:val="24"/>
          <w:szCs w:val="24"/>
          <w:highlight w:val="none"/>
        </w:rPr>
      </w:pPr>
      <w:ins w:id="3" w:author="杨工" w:date="2026-08-12T15:39:09Z">
        <w:r>
          <w:rPr>
            <w:rFonts w:ascii="宋体" w:hAnsi="宋体" w:eastAsia="宋体" w:cs="宋体"/>
            <w:color w:val="auto"/>
            <w:sz w:val="24"/>
            <w:szCs w:val="24"/>
            <w:highlight w:val="none"/>
          </w:rPr>
          <w:t>补充用工薪酬说明（仅为本项目实际人工成本构成告知，不计入供应商报价范围，供应商报价仅填报劳务外包服务费单价）：</w:t>
        </w:r>
      </w:ins>
    </w:p>
    <w:p w14:paraId="00AAFF7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ins w:id="4" w:author="杨工" w:date="2026-08-12T15:39:15Z"/>
          <w:rFonts w:ascii="宋体" w:hAnsi="宋体" w:eastAsia="宋体" w:cs="宋体"/>
          <w:color w:val="auto"/>
          <w:sz w:val="24"/>
          <w:szCs w:val="24"/>
          <w:highlight w:val="none"/>
        </w:rPr>
      </w:pPr>
      <w:ins w:id="5" w:author="杨工" w:date="2026-08-12T15:39:09Z">
        <w:r>
          <w:rPr>
            <w:rFonts w:ascii="宋体" w:hAnsi="宋体" w:eastAsia="宋体" w:cs="宋体"/>
            <w:color w:val="auto"/>
            <w:sz w:val="24"/>
            <w:szCs w:val="24"/>
            <w:highlight w:val="none"/>
          </w:rPr>
          <w:t>本项目服务人员薪酬分为两部分，为采购人实际承担的人员工资基底，供供应商成本测算参考：</w:t>
        </w:r>
      </w:ins>
    </w:p>
    <w:p w14:paraId="40ADD3B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ins w:id="6" w:author="杨工" w:date="2026-08-12T15:39:18Z"/>
          <w:rFonts w:ascii="宋体" w:hAnsi="宋体" w:eastAsia="宋体" w:cs="宋体"/>
          <w:color w:val="auto"/>
          <w:sz w:val="24"/>
          <w:szCs w:val="24"/>
          <w:highlight w:val="none"/>
        </w:rPr>
      </w:pPr>
      <w:ins w:id="7" w:author="杨工" w:date="2026-08-12T15:39:32Z">
        <w:r>
          <w:rPr>
            <w:rFonts w:ascii="宋体" w:hAnsi="宋体" w:eastAsia="宋体" w:cs="宋体"/>
            <w:color w:val="auto"/>
            <w:kern w:val="2"/>
            <w:sz w:val="24"/>
            <w:szCs w:val="24"/>
            <w:highlight w:val="none"/>
            <w:lang w:val="en-US" w:eastAsia="zh-CN" w:bidi="ar-SA"/>
          </w:rPr>
          <w:t>1、</w:t>
        </w:r>
      </w:ins>
      <w:ins w:id="8" w:author="杨工" w:date="2026-08-12T15:39:09Z">
        <w:r>
          <w:rPr>
            <w:rFonts w:ascii="宋体" w:hAnsi="宋体" w:eastAsia="宋体" w:cs="宋体"/>
            <w:color w:val="auto"/>
            <w:sz w:val="24"/>
            <w:szCs w:val="24"/>
            <w:highlight w:val="none"/>
          </w:rPr>
          <w:t>常驻在岗人员固定薪酬：服务人员 38-40 人，月度固定工资约 10.5 万元，全年合计 126 万元；为机修、门卫、巡检运维</w:t>
        </w:r>
      </w:ins>
      <w:ins w:id="9" w:author="杨工" w:date="2026-08-13T17:11:33Z">
        <w:r>
          <w:rPr>
            <w:rFonts w:hint="eastAsia" w:ascii="宋体" w:hAnsi="宋体" w:eastAsia="宋体" w:cs="宋体"/>
            <w:color w:val="auto"/>
            <w:sz w:val="24"/>
            <w:szCs w:val="24"/>
            <w:highlight w:val="none"/>
          </w:rPr>
          <w:t>、及厂站操作</w:t>
        </w:r>
      </w:ins>
      <w:ins w:id="10" w:author="杨工" w:date="2026-08-12T15:39:09Z">
        <w:r>
          <w:rPr>
            <w:rFonts w:ascii="宋体" w:hAnsi="宋体" w:eastAsia="宋体" w:cs="宋体"/>
            <w:color w:val="auto"/>
            <w:sz w:val="24"/>
            <w:szCs w:val="24"/>
            <w:highlight w:val="none"/>
          </w:rPr>
          <w:t>人员完成本职常规工作的固定工资；</w:t>
        </w:r>
      </w:ins>
    </w:p>
    <w:p w14:paraId="15C99AD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ins w:id="11" w:author="杨工" w:date="2026-08-12T15:40:02Z"/>
          <w:rFonts w:ascii="宋体" w:hAnsi="宋体" w:eastAsia="宋体" w:cs="宋体"/>
          <w:color w:val="auto"/>
          <w:sz w:val="24"/>
          <w:szCs w:val="24"/>
          <w:highlight w:val="none"/>
        </w:rPr>
      </w:pPr>
      <w:ins w:id="12" w:author="杨工" w:date="2026-08-12T15:39:32Z">
        <w:r>
          <w:rPr>
            <w:rFonts w:hint="eastAsia" w:ascii="宋体" w:hAnsi="宋体" w:eastAsia="宋体" w:cs="宋体"/>
            <w:color w:val="auto"/>
            <w:kern w:val="2"/>
            <w:sz w:val="24"/>
            <w:szCs w:val="24"/>
            <w:highlight w:val="none"/>
            <w:lang w:val="en-US" w:eastAsia="zh-CN" w:bidi="ar-SA"/>
          </w:rPr>
          <w:t>2、</w:t>
        </w:r>
      </w:ins>
      <w:ins w:id="13" w:author="杨工" w:date="2026-08-12T15:39:09Z">
        <w:r>
          <w:rPr>
            <w:rFonts w:ascii="宋体" w:hAnsi="宋体" w:eastAsia="宋体" w:cs="宋体"/>
            <w:color w:val="auto"/>
            <w:sz w:val="24"/>
            <w:szCs w:val="24"/>
            <w:highlight w:val="none"/>
          </w:rPr>
          <w:t>额外临时用工薪酬：月度额外用工支出约 1.2 万元，全年合计 15 万元；用于常驻人员本职以外新增作业、专项整治、应急抢修，以及外聘临时人员劳务费用。</w:t>
        </w:r>
      </w:ins>
    </w:p>
    <w:p w14:paraId="3360AD9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ins w:id="14" w:author="杨工" w:date="2026-08-12T15:39:09Z">
        <w:r>
          <w:rPr>
            <w:rFonts w:ascii="宋体" w:hAnsi="宋体" w:eastAsia="宋体" w:cs="宋体"/>
            <w:color w:val="auto"/>
            <w:sz w:val="24"/>
            <w:szCs w:val="24"/>
            <w:highlight w:val="none"/>
          </w:rPr>
          <w:t>以上人员工资由采购人据实承担，供应商报价仅收取劳务外包管理服务费（全日制 / 非全日制人员月度服务费）。</w:t>
        </w:r>
      </w:ins>
    </w:p>
    <w:p w14:paraId="2B90A815">
      <w:pPr>
        <w:numPr>
          <w:ilvl w:val="0"/>
          <w:numId w:val="2"/>
        </w:numPr>
        <w:spacing w:before="0" w:after="0" w:line="360" w:lineRule="auto"/>
        <w:outlineLvl w:val="9"/>
        <w:rPr>
          <w:rFonts w:hint="eastAsia" w:ascii="宋体" w:hAnsi="Arial" w:eastAsia="宋体" w:cs="宋体"/>
          <w:b w:val="0"/>
          <w:bCs w:val="0"/>
          <w:color w:val="auto"/>
          <w:sz w:val="24"/>
          <w:szCs w:val="24"/>
          <w:highlight w:val="none"/>
          <w:lang w:eastAsia="zh-CN"/>
        </w:rPr>
      </w:pPr>
      <w:r>
        <w:rPr>
          <w:rFonts w:hint="eastAsia" w:ascii="宋体" w:hAnsi="Arial" w:eastAsia="宋体" w:cs="宋体"/>
          <w:b w:val="0"/>
          <w:bCs w:val="0"/>
          <w:color w:val="auto"/>
          <w:sz w:val="24"/>
          <w:szCs w:val="24"/>
          <w:highlight w:val="none"/>
          <w:lang w:eastAsia="zh-CN"/>
        </w:rPr>
        <w:t>服务需求：</w:t>
      </w:r>
    </w:p>
    <w:p w14:paraId="2F9B0F8B">
      <w:pPr>
        <w:numPr>
          <w:ilvl w:val="0"/>
          <w:numId w:val="3"/>
        </w:numPr>
        <w:spacing w:line="360" w:lineRule="auto"/>
        <w:ind w:leftChars="0"/>
        <w:rPr>
          <w:rFonts w:hint="eastAsia" w:ascii="宋体" w:hAnsi="宋体" w:eastAsia="宋体" w:cs="宋体"/>
          <w:color w:val="auto"/>
          <w:spacing w:val="15"/>
          <w:sz w:val="24"/>
          <w:szCs w:val="24"/>
          <w:highlight w:val="none"/>
        </w:rPr>
      </w:pPr>
      <w:r>
        <w:rPr>
          <w:rFonts w:hint="eastAsia" w:ascii="宋体" w:hAnsi="宋体" w:eastAsia="宋体" w:cs="宋体"/>
          <w:color w:val="auto"/>
          <w:spacing w:val="15"/>
          <w:sz w:val="24"/>
          <w:szCs w:val="24"/>
          <w:highlight w:val="none"/>
        </w:rPr>
        <w:t>计划用工人数：</w:t>
      </w:r>
      <w:r>
        <w:rPr>
          <w:rFonts w:hint="eastAsia" w:ascii="宋体" w:hAnsi="宋体" w:eastAsia="宋体" w:cs="宋体"/>
          <w:color w:val="auto"/>
          <w:spacing w:val="15"/>
          <w:sz w:val="24"/>
          <w:szCs w:val="24"/>
          <w:highlight w:val="none"/>
          <w:lang w:val="en-US" w:eastAsia="zh-CN"/>
        </w:rPr>
        <w:t>40</w:t>
      </w:r>
      <w:r>
        <w:rPr>
          <w:rFonts w:hint="eastAsia" w:ascii="宋体" w:hAnsi="宋体" w:eastAsia="宋体" w:cs="宋体"/>
          <w:color w:val="auto"/>
          <w:spacing w:val="15"/>
          <w:sz w:val="24"/>
          <w:szCs w:val="24"/>
          <w:highlight w:val="none"/>
        </w:rPr>
        <w:t>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b/>
          <w:bCs/>
          <w:color w:val="auto"/>
          <w:spacing w:val="15"/>
          <w:sz w:val="24"/>
          <w:szCs w:val="24"/>
          <w:highlight w:val="none"/>
          <w:lang w:val="en-US" w:eastAsia="zh-CN"/>
        </w:rPr>
        <w:t>按实际数量计费</w:t>
      </w:r>
      <w:r>
        <w:rPr>
          <w:rFonts w:hint="eastAsia" w:ascii="宋体" w:hAnsi="宋体" w:eastAsia="宋体" w:cs="宋体"/>
          <w:color w:val="auto"/>
          <w:spacing w:val="15"/>
          <w:sz w:val="24"/>
          <w:szCs w:val="24"/>
          <w:highlight w:val="none"/>
          <w:lang w:val="en-US" w:eastAsia="zh-CN"/>
        </w:rPr>
        <w:t>)</w:t>
      </w:r>
      <w:r>
        <w:rPr>
          <w:rFonts w:hint="eastAsia" w:ascii="宋体" w:hAnsi="宋体" w:eastAsia="宋体" w:cs="宋体"/>
          <w:color w:val="auto"/>
          <w:spacing w:val="15"/>
          <w:sz w:val="24"/>
          <w:szCs w:val="24"/>
          <w:highlight w:val="none"/>
        </w:rPr>
        <w:t>，主要岗位分布如下：</w:t>
      </w:r>
    </w:p>
    <w:tbl>
      <w:tblPr>
        <w:tblStyle w:val="67"/>
        <w:tblW w:w="83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2109"/>
        <w:gridCol w:w="949"/>
        <w:gridCol w:w="4558"/>
      </w:tblGrid>
      <w:tr w14:paraId="325F1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9" w:type="dxa"/>
            <w:noWrap w:val="0"/>
            <w:vAlign w:val="center"/>
          </w:tcPr>
          <w:p w14:paraId="21811C97">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序号</w:t>
            </w:r>
          </w:p>
        </w:tc>
        <w:tc>
          <w:tcPr>
            <w:tcW w:w="2109" w:type="dxa"/>
            <w:noWrap w:val="0"/>
            <w:vAlign w:val="center"/>
          </w:tcPr>
          <w:p w14:paraId="72B5DE4F">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20"/>
                <w:sz w:val="24"/>
                <w:szCs w:val="24"/>
                <w:highlight w:val="none"/>
              </w:rPr>
              <w:t>岗位</w:t>
            </w:r>
          </w:p>
        </w:tc>
        <w:tc>
          <w:tcPr>
            <w:tcW w:w="949" w:type="dxa"/>
            <w:noWrap w:val="0"/>
            <w:vAlign w:val="center"/>
          </w:tcPr>
          <w:p w14:paraId="44AFA720">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人数</w:t>
            </w:r>
          </w:p>
        </w:tc>
        <w:tc>
          <w:tcPr>
            <w:tcW w:w="4558" w:type="dxa"/>
            <w:noWrap w:val="0"/>
            <w:vAlign w:val="center"/>
          </w:tcPr>
          <w:p w14:paraId="05D35A5F">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岗位职责描述</w:t>
            </w:r>
          </w:p>
        </w:tc>
      </w:tr>
      <w:tr w14:paraId="5FDAC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709" w:type="dxa"/>
            <w:noWrap w:val="0"/>
            <w:vAlign w:val="center"/>
          </w:tcPr>
          <w:p w14:paraId="731A1BFA">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1</w:t>
            </w:r>
          </w:p>
        </w:tc>
        <w:tc>
          <w:tcPr>
            <w:tcW w:w="2109" w:type="dxa"/>
            <w:noWrap w:val="0"/>
            <w:vAlign w:val="center"/>
          </w:tcPr>
          <w:p w14:paraId="7CC76D56">
            <w:pPr>
              <w:pStyle w:val="72"/>
              <w:keepNext w:val="0"/>
              <w:keepLines w:val="0"/>
              <w:pageBreakBefore w:val="0"/>
              <w:kinsoku/>
              <w:wordWrap/>
              <w:overflowPunct/>
              <w:topLinePunct w:val="0"/>
              <w:autoSpaceDE/>
              <w:autoSpaceDN/>
              <w:bidi w:val="0"/>
              <w:adjustRightInd/>
              <w:snapToGrid/>
              <w:spacing w:line="360" w:lineRule="auto"/>
              <w:ind w:left="0" w:leftChars="0" w:right="0" w:rightChars="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机修工</w:t>
            </w:r>
          </w:p>
        </w:tc>
        <w:tc>
          <w:tcPr>
            <w:tcW w:w="949" w:type="dxa"/>
            <w:noWrap w:val="0"/>
            <w:vAlign w:val="center"/>
          </w:tcPr>
          <w:p w14:paraId="3FC1B0DB">
            <w:pPr>
              <w:pStyle w:val="72"/>
              <w:keepNext w:val="0"/>
              <w:keepLines w:val="0"/>
              <w:pageBreakBefore w:val="0"/>
              <w:kinsoku/>
              <w:wordWrap/>
              <w:overflowPunct/>
              <w:topLinePunct w:val="0"/>
              <w:autoSpaceDE/>
              <w:autoSpaceDN/>
              <w:bidi w:val="0"/>
              <w:adjustRightInd/>
              <w:snapToGrid/>
              <w:spacing w:line="360" w:lineRule="auto"/>
              <w:ind w:left="0" w:leftChars="0" w:right="0" w:rightChars="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1</w:t>
            </w:r>
          </w:p>
        </w:tc>
        <w:tc>
          <w:tcPr>
            <w:tcW w:w="4558" w:type="dxa"/>
            <w:noWrap w:val="0"/>
            <w:vAlign w:val="center"/>
          </w:tcPr>
          <w:p w14:paraId="371F8AD1">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snapToGrid/>
                <w:color w:val="auto"/>
                <w:spacing w:val="15"/>
                <w:kern w:val="2"/>
                <w:sz w:val="24"/>
                <w:szCs w:val="24"/>
                <w:highlight w:val="none"/>
                <w:lang w:val="en-US" w:eastAsia="zh-CN" w:bidi="ar-SA"/>
              </w:rPr>
            </w:pPr>
            <w:r>
              <w:rPr>
                <w:rFonts w:hint="eastAsia" w:ascii="宋体" w:hAnsi="宋体" w:eastAsia="宋体" w:cs="宋体"/>
                <w:snapToGrid/>
                <w:color w:val="auto"/>
                <w:spacing w:val="15"/>
                <w:kern w:val="2"/>
                <w:sz w:val="24"/>
                <w:szCs w:val="24"/>
                <w:highlight w:val="none"/>
                <w:lang w:val="en-US" w:eastAsia="zh-CN" w:bidi="ar-SA"/>
              </w:rPr>
              <w:t>负责厂站设备的安装、故障维修与保养等;确保生产设备稳定运行，及时处理突发故障。</w:t>
            </w:r>
          </w:p>
        </w:tc>
      </w:tr>
      <w:tr w14:paraId="7A0E7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709" w:type="dxa"/>
            <w:noWrap w:val="0"/>
            <w:vAlign w:val="center"/>
          </w:tcPr>
          <w:p w14:paraId="11616E16">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2</w:t>
            </w:r>
          </w:p>
        </w:tc>
        <w:tc>
          <w:tcPr>
            <w:tcW w:w="2109" w:type="dxa"/>
            <w:noWrap w:val="0"/>
            <w:vAlign w:val="center"/>
          </w:tcPr>
          <w:p w14:paraId="4E3B9F23">
            <w:pPr>
              <w:pStyle w:val="72"/>
              <w:keepNext w:val="0"/>
              <w:keepLines w:val="0"/>
              <w:pageBreakBefore w:val="0"/>
              <w:kinsoku/>
              <w:wordWrap/>
              <w:overflowPunct/>
              <w:topLinePunct w:val="0"/>
              <w:autoSpaceDE/>
              <w:autoSpaceDN/>
              <w:bidi w:val="0"/>
              <w:adjustRightInd/>
              <w:snapToGrid/>
              <w:spacing w:line="360" w:lineRule="auto"/>
              <w:ind w:left="0" w:leftChars="0" w:right="0" w:rightChars="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巡检运维人员（全日制和非全日制）</w:t>
            </w:r>
          </w:p>
        </w:tc>
        <w:tc>
          <w:tcPr>
            <w:tcW w:w="949" w:type="dxa"/>
            <w:noWrap w:val="0"/>
            <w:vAlign w:val="center"/>
          </w:tcPr>
          <w:p w14:paraId="03885450">
            <w:pPr>
              <w:pStyle w:val="72"/>
              <w:keepNext w:val="0"/>
              <w:keepLines w:val="0"/>
              <w:pageBreakBefore w:val="0"/>
              <w:kinsoku/>
              <w:wordWrap/>
              <w:overflowPunct/>
              <w:topLinePunct w:val="0"/>
              <w:autoSpaceDE/>
              <w:autoSpaceDN/>
              <w:bidi w:val="0"/>
              <w:adjustRightInd/>
              <w:snapToGrid/>
              <w:spacing w:line="360" w:lineRule="auto"/>
              <w:ind w:left="0" w:leftChars="0" w:right="0" w:rightChars="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37</w:t>
            </w:r>
          </w:p>
        </w:tc>
        <w:tc>
          <w:tcPr>
            <w:tcW w:w="4558" w:type="dxa"/>
            <w:noWrap w:val="0"/>
            <w:vAlign w:val="center"/>
          </w:tcPr>
          <w:p w14:paraId="4964CA7D">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rPr>
                <w:rFonts w:hint="eastAsia" w:ascii="宋体" w:hAnsi="宋体" w:eastAsia="宋体" w:cs="宋体"/>
                <w:snapToGrid/>
                <w:color w:val="auto"/>
                <w:spacing w:val="15"/>
                <w:kern w:val="2"/>
                <w:sz w:val="24"/>
                <w:szCs w:val="24"/>
                <w:highlight w:val="none"/>
                <w:lang w:val="en-US" w:eastAsia="zh-CN" w:bidi="ar-SA"/>
              </w:rPr>
            </w:pPr>
            <w:r>
              <w:rPr>
                <w:rFonts w:hint="eastAsia" w:ascii="宋体" w:hAnsi="宋体" w:eastAsia="宋体" w:cs="宋体"/>
                <w:snapToGrid/>
                <w:color w:val="auto"/>
                <w:spacing w:val="15"/>
                <w:kern w:val="2"/>
                <w:sz w:val="24"/>
                <w:szCs w:val="24"/>
                <w:highlight w:val="none"/>
                <w:lang w:val="en-US" w:eastAsia="zh-CN" w:bidi="ar-SA"/>
              </w:rPr>
              <w:t>设备巡检维护、工艺运行调整、台账记录;格栅与提升泵房巡查，电气设备巡检，周边环境巡查，药剂投加，污泥浓度控制。</w:t>
            </w:r>
          </w:p>
        </w:tc>
      </w:tr>
      <w:tr w14:paraId="7A8FD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709" w:type="dxa"/>
            <w:noWrap w:val="0"/>
            <w:vAlign w:val="center"/>
          </w:tcPr>
          <w:p w14:paraId="17E6B9F8">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3</w:t>
            </w:r>
          </w:p>
        </w:tc>
        <w:tc>
          <w:tcPr>
            <w:tcW w:w="2109" w:type="dxa"/>
            <w:noWrap w:val="0"/>
            <w:vAlign w:val="center"/>
          </w:tcPr>
          <w:p w14:paraId="741E067E">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门卫</w:t>
            </w:r>
          </w:p>
        </w:tc>
        <w:tc>
          <w:tcPr>
            <w:tcW w:w="949" w:type="dxa"/>
            <w:noWrap w:val="0"/>
            <w:vAlign w:val="center"/>
          </w:tcPr>
          <w:p w14:paraId="71B6A9EF">
            <w:pPr>
              <w:pStyle w:val="72"/>
              <w:keepNext w:val="0"/>
              <w:keepLines w:val="0"/>
              <w:pageBreakBefore w:val="0"/>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pacing w:val="15"/>
                <w:sz w:val="24"/>
                <w:szCs w:val="24"/>
                <w:highlight w:val="none"/>
                <w:lang w:val="en-US" w:eastAsia="zh-CN"/>
              </w:rPr>
              <w:t>2</w:t>
            </w:r>
          </w:p>
        </w:tc>
        <w:tc>
          <w:tcPr>
            <w:tcW w:w="4558" w:type="dxa"/>
            <w:noWrap w:val="0"/>
            <w:vAlign w:val="center"/>
          </w:tcPr>
          <w:p w14:paraId="6D16B26A">
            <w:pPr>
              <w:keepNext w:val="0"/>
              <w:keepLines w:val="0"/>
              <w:pageBreakBefore w:val="0"/>
              <w:numPr>
                <w:ilvl w:val="0"/>
                <w:numId w:val="0"/>
              </w:numPr>
              <w:kinsoku/>
              <w:wordWrap/>
              <w:overflowPunct/>
              <w:topLinePunct w:val="0"/>
              <w:autoSpaceDE/>
              <w:autoSpaceDN/>
              <w:bidi w:val="0"/>
              <w:adjustRightInd/>
              <w:snapToGrid/>
              <w:spacing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color w:val="auto"/>
                <w:spacing w:val="15"/>
                <w:kern w:val="2"/>
                <w:sz w:val="24"/>
                <w:szCs w:val="24"/>
                <w:highlight w:val="none"/>
                <w:lang w:val="en-US" w:eastAsia="zh-CN" w:bidi="ar-SA"/>
              </w:rPr>
              <w:t>管理厂区出入安全、来访登记、日常巡逻，确保生产环境安全。</w:t>
            </w:r>
          </w:p>
        </w:tc>
      </w:tr>
    </w:tbl>
    <w:p w14:paraId="591AAD0A">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2、服务目标</w:t>
      </w:r>
    </w:p>
    <w:p w14:paraId="6F9192B7">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（1）提供高效、便捷、规范的服务。</w:t>
      </w:r>
    </w:p>
    <w:p w14:paraId="7A82CF74">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（2）促进人力资源的合理配置。</w:t>
      </w:r>
    </w:p>
    <w:p w14:paraId="45749086">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（3）提升劳务外包的管理水平和服务满意度。</w:t>
      </w:r>
    </w:p>
    <w:p w14:paraId="2EA91F7D">
      <w:pPr>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en-US"/>
        </w:rPr>
        <w:t>3、</w:t>
      </w:r>
      <w:r>
        <w:rPr>
          <w:rFonts w:hint="eastAsia" w:ascii="宋体" w:hAnsi="宋体" w:eastAsia="宋体" w:cs="宋体"/>
          <w:color w:val="auto"/>
          <w:sz w:val="24"/>
          <w:szCs w:val="24"/>
          <w:highlight w:val="none"/>
          <w:lang w:val="en-US" w:eastAsia="zh-CN"/>
        </w:rPr>
        <w:t>服务要求</w:t>
      </w:r>
    </w:p>
    <w:p w14:paraId="1D754F86">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需要在成交通知书发出之日起</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lang w:eastAsia="en-US"/>
        </w:rPr>
        <w:t>天内</w:t>
      </w:r>
      <w:r>
        <w:rPr>
          <w:rFonts w:hint="eastAsia" w:ascii="宋体" w:hAnsi="宋体" w:eastAsia="宋体" w:cs="宋体"/>
          <w:color w:val="auto"/>
          <w:sz w:val="24"/>
          <w:szCs w:val="24"/>
          <w:highlight w:val="none"/>
          <w:lang w:val="en-US" w:eastAsia="en-US"/>
        </w:rPr>
        <w:t>完成所有人员招聘上岗工作，若超过规定期限内，按照</w:t>
      </w:r>
      <w:r>
        <w:rPr>
          <w:rFonts w:hint="eastAsia" w:ascii="宋体" w:hAnsi="宋体" w:cs="宋体"/>
          <w:color w:val="auto"/>
          <w:sz w:val="24"/>
          <w:szCs w:val="24"/>
          <w:highlight w:val="none"/>
          <w:lang w:val="en-US" w:eastAsia="zh-CN"/>
        </w:rPr>
        <w:t>100</w:t>
      </w:r>
      <w:r>
        <w:rPr>
          <w:rFonts w:hint="eastAsia" w:ascii="宋体" w:hAnsi="宋体" w:eastAsia="宋体" w:cs="宋体"/>
          <w:color w:val="auto"/>
          <w:sz w:val="24"/>
          <w:szCs w:val="24"/>
          <w:highlight w:val="none"/>
          <w:lang w:val="en-US" w:eastAsia="en-US"/>
        </w:rPr>
        <w:t>元/天/人标准扣罚。</w:t>
      </w:r>
    </w:p>
    <w:p w14:paraId="4376A69D">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人根据工作需要对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外包人员进行必要的培训，进行工作调配和发布调度指令，提供必要的工作场所及工作条件，并负责对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工作进行监督、考核管理。</w:t>
      </w:r>
    </w:p>
    <w:p w14:paraId="5ACBE649">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应按时、按质、按量、按要求完成</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人委托的各项业务，并接受</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人监督管理和工作检查。</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委派人员应服从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人的工作安排，严格遵守</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人管理规定，按要求执行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人的调度指令。</w:t>
      </w:r>
    </w:p>
    <w:p w14:paraId="1DD1C5B2">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应根据</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人工作需求，选派符合</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人要求的工作人员，具体如下:</w:t>
      </w:r>
    </w:p>
    <w:p w14:paraId="6B77849F">
      <w:pPr>
        <w:spacing w:line="360" w:lineRule="auto"/>
        <w:ind w:firstLine="480" w:firstLineChars="20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u w:val="none" w:color="000000"/>
        </w:rPr>
        <w:t>&lt;1&gt;</w:t>
      </w:r>
      <w:r>
        <w:rPr>
          <w:rFonts w:hint="eastAsia" w:ascii="宋体" w:hAnsi="宋体" w:eastAsia="宋体" w:cs="宋体"/>
          <w:color w:val="auto"/>
          <w:sz w:val="24"/>
          <w:szCs w:val="24"/>
          <w:highlight w:val="none"/>
          <w:lang w:val="en-US" w:eastAsia="en-US"/>
        </w:rPr>
        <w:t>审查有无犯罪记录、前科，品行端正、遵纪守法；</w:t>
      </w:r>
    </w:p>
    <w:p w14:paraId="03FA291A">
      <w:pPr>
        <w:spacing w:line="360" w:lineRule="auto"/>
        <w:ind w:firstLine="480" w:firstLineChars="20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u w:val="none" w:color="000000"/>
        </w:rPr>
        <w:t>&lt;</w:t>
      </w:r>
      <w:r>
        <w:rPr>
          <w:rFonts w:hint="eastAsia" w:ascii="宋体" w:hAnsi="宋体" w:eastAsia="宋体" w:cs="宋体"/>
          <w:color w:val="auto"/>
          <w:sz w:val="24"/>
          <w:szCs w:val="24"/>
          <w:highlight w:val="none"/>
          <w:u w:val="none" w:color="000000"/>
          <w:lang w:val="en-US" w:eastAsia="zh-CN"/>
        </w:rPr>
        <w:t>2</w:t>
      </w:r>
      <w:r>
        <w:rPr>
          <w:rFonts w:hint="eastAsia" w:ascii="宋体" w:hAnsi="宋体" w:eastAsia="宋体" w:cs="宋体"/>
          <w:color w:val="auto"/>
          <w:sz w:val="24"/>
          <w:szCs w:val="24"/>
          <w:highlight w:val="none"/>
          <w:u w:val="none" w:color="000000"/>
        </w:rPr>
        <w:t>&gt;</w:t>
      </w:r>
      <w:r>
        <w:rPr>
          <w:rFonts w:hint="eastAsia" w:ascii="宋体" w:hAnsi="宋体" w:eastAsia="宋体" w:cs="宋体"/>
          <w:color w:val="auto"/>
          <w:sz w:val="24"/>
          <w:szCs w:val="24"/>
          <w:highlight w:val="none"/>
          <w:lang w:val="en-US" w:eastAsia="en-US"/>
        </w:rPr>
        <w:t>确保无乙肝、甲肝、丙肝、肺结核等传染性疾病，身体健康，精神状态良好，提供健康证明；</w:t>
      </w:r>
    </w:p>
    <w:p w14:paraId="3EB48D0F">
      <w:pPr>
        <w:spacing w:line="360" w:lineRule="auto"/>
        <w:ind w:firstLine="480" w:firstLineChars="20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u w:val="none" w:color="000000"/>
        </w:rPr>
        <w:t>&lt;</w:t>
      </w:r>
      <w:r>
        <w:rPr>
          <w:rFonts w:hint="eastAsia" w:ascii="宋体" w:hAnsi="宋体" w:eastAsia="宋体" w:cs="宋体"/>
          <w:color w:val="auto"/>
          <w:sz w:val="24"/>
          <w:szCs w:val="24"/>
          <w:highlight w:val="none"/>
          <w:u w:val="none" w:color="000000"/>
          <w:lang w:val="en-US" w:eastAsia="zh-CN"/>
        </w:rPr>
        <w:t>3</w:t>
      </w:r>
      <w:r>
        <w:rPr>
          <w:rFonts w:hint="eastAsia" w:ascii="宋体" w:hAnsi="宋体" w:eastAsia="宋体" w:cs="宋体"/>
          <w:color w:val="auto"/>
          <w:sz w:val="24"/>
          <w:szCs w:val="24"/>
          <w:highlight w:val="none"/>
          <w:u w:val="none" w:color="000000"/>
        </w:rPr>
        <w:t>&gt;</w:t>
      </w:r>
      <w:r>
        <w:rPr>
          <w:rFonts w:hint="eastAsia" w:ascii="宋体" w:hAnsi="宋体" w:eastAsia="宋体" w:cs="宋体"/>
          <w:color w:val="auto"/>
          <w:sz w:val="24"/>
          <w:szCs w:val="24"/>
          <w:highlight w:val="none"/>
          <w:lang w:val="en-US" w:eastAsia="en-US"/>
        </w:rPr>
        <w:t>未患有职业病鉴定委员会鉴定的职业病。</w:t>
      </w:r>
    </w:p>
    <w:p w14:paraId="45B0CF5F">
      <w:pPr>
        <w:spacing w:line="360" w:lineRule="auto"/>
        <w:ind w:firstLine="480" w:firstLineChars="20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u w:val="none" w:color="000000"/>
        </w:rPr>
        <w:t>&lt;</w:t>
      </w:r>
      <w:r>
        <w:rPr>
          <w:rFonts w:hint="eastAsia" w:ascii="宋体" w:hAnsi="宋体" w:eastAsia="宋体" w:cs="宋体"/>
          <w:color w:val="auto"/>
          <w:sz w:val="24"/>
          <w:szCs w:val="24"/>
          <w:highlight w:val="none"/>
          <w:u w:val="none" w:color="000000"/>
          <w:lang w:val="en-US" w:eastAsia="zh-CN"/>
        </w:rPr>
        <w:t>4</w:t>
      </w:r>
      <w:r>
        <w:rPr>
          <w:rFonts w:hint="eastAsia" w:ascii="宋体" w:hAnsi="宋体" w:eastAsia="宋体" w:cs="宋体"/>
          <w:color w:val="auto"/>
          <w:sz w:val="24"/>
          <w:szCs w:val="24"/>
          <w:highlight w:val="none"/>
          <w:u w:val="none" w:color="000000"/>
        </w:rPr>
        <w:t>&gt;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应及时将聘用的工作人员花名册及个人资料盖章后交</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人审验和备案。</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人员更换时必须及时告知</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人，并更新花名册及个人资料。</w:t>
      </w:r>
    </w:p>
    <w:p w14:paraId="3076218F">
      <w:pPr>
        <w:spacing w:line="360" w:lineRule="auto"/>
        <w:ind w:firstLine="480" w:firstLineChars="20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若</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人发现</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存在入职手续不全，弄虚作假的情况，</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人有权让</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辞退不符合标准的员工，并对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按照</w:t>
      </w:r>
      <w:r>
        <w:rPr>
          <w:rFonts w:hint="eastAsia" w:ascii="宋体" w:hAnsi="宋体" w:eastAsia="宋体" w:cs="宋体"/>
          <w:color w:val="auto"/>
          <w:sz w:val="24"/>
          <w:szCs w:val="24"/>
          <w:highlight w:val="none"/>
          <w:lang w:val="en-US" w:eastAsia="zh-CN"/>
        </w:rPr>
        <w:t>1000</w:t>
      </w:r>
      <w:r>
        <w:rPr>
          <w:rFonts w:hint="eastAsia" w:ascii="宋体" w:hAnsi="宋体" w:eastAsia="宋体" w:cs="宋体"/>
          <w:color w:val="auto"/>
          <w:sz w:val="24"/>
          <w:szCs w:val="24"/>
          <w:highlight w:val="none"/>
          <w:lang w:val="en-US" w:eastAsia="en-US"/>
        </w:rPr>
        <w:t>元/人进行扣罚。</w:t>
      </w:r>
    </w:p>
    <w:p w14:paraId="3170793D">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en-US"/>
        </w:rPr>
        <w:t>）供应商应向采购人提供从事运行工作相关人员的基本信息，并保证足额的工作人员，参与</w:t>
      </w:r>
      <w:ins w:id="15" w:author="杨工" w:date="2026-08-10T12:06:50Z">
        <w:r>
          <w:rPr>
            <w:rFonts w:hint="eastAsia" w:ascii="宋体" w:hAnsi="宋体" w:cs="宋体"/>
            <w:color w:val="auto"/>
            <w:sz w:val="24"/>
            <w:szCs w:val="24"/>
            <w:highlight w:val="none"/>
            <w:lang w:val="en-US" w:eastAsia="zh-CN"/>
          </w:rPr>
          <w:t>采购</w:t>
        </w:r>
      </w:ins>
      <w:r>
        <w:rPr>
          <w:rFonts w:hint="eastAsia" w:ascii="宋体" w:hAnsi="宋体" w:eastAsia="宋体" w:cs="宋体"/>
          <w:color w:val="auto"/>
          <w:sz w:val="24"/>
          <w:szCs w:val="24"/>
          <w:highlight w:val="none"/>
          <w:lang w:val="en-US" w:eastAsia="en-US"/>
        </w:rPr>
        <w:t>人外包工作，因人员离职导致岗位人员不足的，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应于七日内补齐，超过七日未补齐的，</w:t>
      </w:r>
      <w:ins w:id="16" w:author="杨工" w:date="2026-08-10T12:06:54Z">
        <w:r>
          <w:rPr>
            <w:rFonts w:hint="eastAsia" w:ascii="宋体" w:hAnsi="宋体" w:cs="宋体"/>
            <w:color w:val="auto"/>
            <w:sz w:val="24"/>
            <w:szCs w:val="24"/>
            <w:highlight w:val="none"/>
            <w:lang w:val="en-US" w:eastAsia="zh-CN"/>
          </w:rPr>
          <w:t>采购</w:t>
        </w:r>
      </w:ins>
      <w:r>
        <w:rPr>
          <w:rFonts w:hint="eastAsia" w:ascii="宋体" w:hAnsi="宋体" w:eastAsia="宋体" w:cs="宋体"/>
          <w:color w:val="auto"/>
          <w:sz w:val="24"/>
          <w:szCs w:val="24"/>
          <w:highlight w:val="none"/>
          <w:lang w:val="en-US" w:eastAsia="en-US"/>
        </w:rPr>
        <w:t>人按日扣除相应的服务费，直至人员补齐，期间由供应商负责安排人员完成工作班次，不得影响采购人正常生产工作。除非征得采购人许可，供应商不得随意调换工作人员，合同期内人员离职率超过30%的，</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en-US"/>
        </w:rPr>
        <w:t>一次性按1000元/人扣除服务费，后续仍有离职的，累计扣除。</w:t>
      </w:r>
    </w:p>
    <w:p w14:paraId="3E00A629">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应为派至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人的工作人员办理合法的劳动用工手续，与其建立劳动关系并签订劳动合同，按月支付工资，投缴社会保险，若因</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原因导致工资未及时发放的，扣除</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val="en-US" w:eastAsia="en-US"/>
        </w:rPr>
        <w:t>/次。</w:t>
      </w:r>
    </w:p>
    <w:p w14:paraId="415664CB">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外包员工在</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人场所服务期间出现人身损害的，均由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承担责任，如发生工伤事故，由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承担工伤保险责任，作为其员工工伤事故的单位负责办理相关事宜，包括但不限于工伤申报、工伤保险待遇申请、劳动能力等级鉴定等，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人配合提供相关资料。属于保险理赔项目的，由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通过相关机构理赔或索赔，仍不足需补偿的由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承担。因此造成人员缺岗的，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需及时安排人员补充到岗，不得影响</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人正常</w:t>
      </w:r>
      <w:r>
        <w:rPr>
          <w:rFonts w:hint="eastAsia" w:ascii="宋体" w:hAnsi="宋体" w:eastAsia="宋体" w:cs="宋体"/>
          <w:color w:val="auto"/>
          <w:sz w:val="24"/>
          <w:szCs w:val="24"/>
          <w:highlight w:val="none"/>
          <w:lang w:val="en-US" w:eastAsia="zh-CN"/>
        </w:rPr>
        <w:t>工作</w:t>
      </w:r>
      <w:r>
        <w:rPr>
          <w:rFonts w:hint="eastAsia" w:ascii="宋体" w:hAnsi="宋体" w:eastAsia="宋体" w:cs="宋体"/>
          <w:color w:val="auto"/>
          <w:sz w:val="24"/>
          <w:szCs w:val="24"/>
          <w:highlight w:val="none"/>
          <w:lang w:val="en-US" w:eastAsia="en-US"/>
        </w:rPr>
        <w:t>，若未在规定时限内及时补员，按照</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val="en-US" w:eastAsia="en-US"/>
        </w:rPr>
        <w:t>元/天/人标准扣罚。</w:t>
      </w:r>
    </w:p>
    <w:p w14:paraId="75130474">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自觉接受</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人相关部门的安全检查和指导，对查出的问题要认真整改，防止安全事故发生。</w:t>
      </w:r>
    </w:p>
    <w:p w14:paraId="3D9DACFD">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en-US"/>
        </w:rPr>
        <w:t>）因</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原因，在服务期间对</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人或第三方造成的损害，由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负责赔偿，并负责承担由此造成的经济、法律责任。</w:t>
      </w:r>
    </w:p>
    <w:p w14:paraId="48292FC2">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应主动配合</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人及行业管理部门的各项检查。</w:t>
      </w:r>
    </w:p>
    <w:p w14:paraId="23DC5B51">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须保守</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人商业秘密。</w:t>
      </w:r>
    </w:p>
    <w:p w14:paraId="293A2253">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必须严格管理，制定内部规章及考核处罚规定，并严格检查考核。</w:t>
      </w:r>
    </w:p>
    <w:p w14:paraId="73628619">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人有权随时对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工作人员进行检查，有权对违规或不称职人员提出处罚、调换或辞退要求，</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应当接受。</w:t>
      </w:r>
    </w:p>
    <w:p w14:paraId="7CCE6DC8">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工作人员配备由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负责，但必须符合</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人排班要求，并保证日常生产正常运行。</w:t>
      </w:r>
    </w:p>
    <w:p w14:paraId="0E9EC542">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工作人员在工作期间出现劳动争议或发生人身伤害由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en-US"/>
        </w:rPr>
        <w:t>依照相关规定进行妥善处理。</w:t>
      </w:r>
    </w:p>
    <w:p w14:paraId="1369CD97">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4、培训与指导</w:t>
      </w:r>
    </w:p>
    <w:p w14:paraId="03BDEA0A">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（1）针对相关服务内容，开展各类技能培训，提升劳务外包人员的服务能力。</w:t>
      </w:r>
    </w:p>
    <w:p w14:paraId="276A0D13">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（2）为劳务外包提供劳动法律法规、职业道德等方面的培训和指导，增强其法律意识和职业素养。</w:t>
      </w:r>
    </w:p>
    <w:p w14:paraId="34B34866">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5、运营与管理</w:t>
      </w:r>
    </w:p>
    <w:p w14:paraId="62849DF0">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（1）负责日常运营管理。</w:t>
      </w:r>
    </w:p>
    <w:p w14:paraId="074FBF12">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（2）建立和完善劳务外包市场的管理制度和服务流程，提高工作效率和服务质量。</w:t>
      </w:r>
    </w:p>
    <w:p w14:paraId="34B545C5">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（3）定期对劳务外包市场的运营情况进行评估和分析，提出改进建议和措施。</w:t>
      </w:r>
    </w:p>
    <w:p w14:paraId="41DD6105">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en-US"/>
        </w:rPr>
        <w:t>、商务要求</w:t>
      </w:r>
    </w:p>
    <w:p w14:paraId="7B753718">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（1）服务规范：有国家标准的执行国家标准；无国家标准的执行行业标准；无行业标准的执行地方标准；无地方标准的执行企业标准。</w:t>
      </w:r>
    </w:p>
    <w:p w14:paraId="16FB60CB">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en-US"/>
        </w:rPr>
        <w:t>）承包形式：自主用工、管理自律、风险自担、依法纳税，费用包干。</w:t>
      </w:r>
    </w:p>
    <w:p w14:paraId="4DA5D586">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（3）服务期：</w:t>
      </w:r>
      <w:r>
        <w:rPr>
          <w:rFonts w:hint="eastAsia" w:ascii="宋体" w:eastAsia="宋体" w:cs="宋体"/>
          <w:b w:val="0"/>
          <w:color w:val="auto"/>
          <w:sz w:val="24"/>
          <w:szCs w:val="24"/>
          <w:highlight w:val="none"/>
          <w:lang w:eastAsia="zh-CN"/>
        </w:rPr>
        <w:t>本项目总服务期限最长不超过3年，首次签订1年合同，首年履约完成后对成交供应商进行评价，评价得分高于80分（含）的成交供应商在采购人后续年度预算到位的情况下，可续签后续2年合同（合同1年1签），评价得分低于80分的不再续签。续签期间成交单价均不高于首次签订合同约定的对应成交单价。</w:t>
      </w:r>
    </w:p>
    <w:p w14:paraId="081F28DD">
      <w:pPr>
        <w:spacing w:line="360" w:lineRule="auto"/>
        <w:ind w:firstLine="360" w:firstLineChars="150"/>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en-US"/>
        </w:rPr>
        <w:t>）</w:t>
      </w:r>
      <w:r>
        <w:rPr>
          <w:rFonts w:hint="eastAsia" w:ascii="宋体" w:hAnsi="宋体" w:eastAsia="宋体" w:cs="宋体"/>
          <w:color w:val="auto"/>
          <w:sz w:val="24"/>
          <w:szCs w:val="24"/>
          <w:highlight w:val="none"/>
          <w:lang w:val="en-US" w:eastAsia="zh-CN"/>
        </w:rPr>
        <w:t>响应报</w:t>
      </w:r>
      <w:r>
        <w:rPr>
          <w:rFonts w:hint="eastAsia" w:ascii="宋体" w:hAnsi="宋体" w:eastAsia="宋体" w:cs="宋体"/>
          <w:color w:val="auto"/>
          <w:sz w:val="24"/>
          <w:szCs w:val="24"/>
          <w:highlight w:val="none"/>
          <w:lang w:val="en-US" w:eastAsia="en-US"/>
        </w:rPr>
        <w:t>价包含了履行合同所有内容的全部费用，包含了本次</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en-US"/>
        </w:rPr>
        <w:t>要求的全部内容和费用，包括所有价内价外税金及合理利润等。</w:t>
      </w:r>
    </w:p>
    <w:p w14:paraId="0120D75D">
      <w:pPr>
        <w:spacing w:line="360" w:lineRule="auto"/>
        <w:ind w:firstLine="360" w:firstLineChars="15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（5）供应商承担</w:t>
      </w:r>
      <w:r>
        <w:rPr>
          <w:rFonts w:hint="eastAsia" w:ascii="宋体" w:hAnsi="宋体" w:eastAsia="宋体" w:cs="宋体"/>
          <w:b w:val="0"/>
          <w:bCs w:val="0"/>
          <w:color w:val="auto"/>
          <w:kern w:val="2"/>
          <w:sz w:val="24"/>
          <w:szCs w:val="24"/>
          <w:highlight w:val="none"/>
          <w:lang w:val="en-US" w:eastAsia="zh-CN" w:bidi="ar-SA"/>
        </w:rPr>
        <w:t>外包</w:t>
      </w:r>
      <w:r>
        <w:rPr>
          <w:rFonts w:hint="eastAsia" w:ascii="宋体" w:hAnsi="宋体" w:eastAsia="宋体" w:cs="宋体"/>
          <w:color w:val="auto"/>
          <w:sz w:val="24"/>
          <w:szCs w:val="24"/>
          <w:highlight w:val="none"/>
          <w:lang w:val="en-US" w:eastAsia="zh-CN"/>
        </w:rPr>
        <w:t>人员解雇、离职、工伤等引起的全部赔偿和责任。</w:t>
      </w:r>
    </w:p>
    <w:p w14:paraId="21235B3E">
      <w:pPr>
        <w:numPr>
          <w:ilvl w:val="0"/>
          <w:numId w:val="2"/>
        </w:numPr>
        <w:spacing w:before="0" w:after="0" w:line="360" w:lineRule="auto"/>
        <w:outlineLvl w:val="9"/>
        <w:rPr>
          <w:rFonts w:hint="eastAsia" w:ascii="宋体" w:hAnsi="Arial" w:eastAsia="宋体" w:cs="宋体"/>
          <w:b w:val="0"/>
          <w:bCs w:val="0"/>
          <w:color w:val="auto"/>
          <w:sz w:val="24"/>
          <w:szCs w:val="24"/>
          <w:highlight w:val="none"/>
          <w:lang w:eastAsia="zh-CN"/>
        </w:rPr>
      </w:pPr>
      <w:r>
        <w:rPr>
          <w:rFonts w:hint="eastAsia" w:ascii="宋体" w:hAnsi="Arial" w:eastAsia="宋体" w:cs="宋体"/>
          <w:b w:val="0"/>
          <w:bCs w:val="0"/>
          <w:color w:val="auto"/>
          <w:sz w:val="24"/>
          <w:szCs w:val="24"/>
          <w:highlight w:val="none"/>
          <w:lang w:eastAsia="zh-CN"/>
        </w:rPr>
        <w:t>其他要求</w:t>
      </w:r>
    </w:p>
    <w:p w14:paraId="2D0096AE">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1.突发安全事故、用工纠纷，成交供应商须1小时内派员到场响应，4小时内拿出处置方案，72小时内闭环解决；</w:t>
      </w:r>
    </w:p>
    <w:p w14:paraId="3B791E4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2.外包人员领用采购人物资、工具，由成交供应商负责登记保管，人员离职时全额回收，遗失、损坏需照价赔偿；</w:t>
      </w:r>
    </w:p>
    <w:p w14:paraId="2003473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3.成交供应商全程接受采购人及相关监管部门监督，积极配合异议、投诉相关核查处理工作。</w:t>
      </w:r>
    </w:p>
    <w:p w14:paraId="75C83C2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color w:val="auto"/>
          <w:highlight w:val="none"/>
        </w:rPr>
      </w:pPr>
      <w:r>
        <w:rPr>
          <w:rFonts w:hint="eastAsia" w:ascii="宋体" w:hAnsi="宋体" w:eastAsia="宋体" w:cs="宋体"/>
          <w:b w:val="0"/>
          <w:bCs w:val="0"/>
          <w:color w:val="auto"/>
          <w:kern w:val="2"/>
          <w:sz w:val="24"/>
          <w:szCs w:val="24"/>
          <w:highlight w:val="none"/>
          <w:lang w:val="en-US" w:eastAsia="zh-CN" w:bidi="ar-SA"/>
        </w:rPr>
        <w:t>4.</w:t>
      </w:r>
      <w:ins w:id="17" w:author="杨工" w:date="2026-08-10T11:23:23Z">
        <w:r>
          <w:rPr>
            <w:rFonts w:ascii="宋体" w:hAnsi="宋体" w:eastAsia="宋体" w:cs="宋体"/>
            <w:color w:val="auto"/>
            <w:sz w:val="24"/>
            <w:szCs w:val="24"/>
            <w:highlight w:val="none"/>
          </w:rPr>
          <w:t>属地现场管理统一要求：成交供应商须在合同签订后 3 个工作日内，指定 1 名专职项目现场对接负责人。该专职对接人每月在黄山市采购人办公场所开展现场管理、问题协调、人员核查等工作时长累计不得少于 10 个工作日，全年常态化保障属地响应能力，发生人员批量流失、工伤、群体性劳资纠纷等突发事件时，须即时抵达厂区现场处置。 本条要求</w:t>
        </w:r>
      </w:ins>
      <w:ins w:id="18" w:author="杨工" w:date="2026-08-10T11:23:23Z">
        <w:r>
          <w:rPr>
            <w:rStyle w:val="29"/>
            <w:rFonts w:ascii="宋体" w:hAnsi="宋体" w:eastAsia="宋体" w:cs="宋体"/>
            <w:color w:val="auto"/>
            <w:sz w:val="24"/>
            <w:szCs w:val="24"/>
            <w:highlight w:val="none"/>
          </w:rPr>
          <w:t>全部成交供应商统一适用</w:t>
        </w:r>
      </w:ins>
      <w:ins w:id="19" w:author="杨工" w:date="2026-08-10T11:23:23Z">
        <w:r>
          <w:rPr>
            <w:rFonts w:ascii="宋体" w:hAnsi="宋体" w:eastAsia="宋体" w:cs="宋体"/>
            <w:color w:val="auto"/>
            <w:sz w:val="24"/>
            <w:szCs w:val="24"/>
            <w:highlight w:val="none"/>
          </w:rPr>
          <w:t>，不依据供应商是否在黄山市设立工商登记分公司、办事处设置差异化履约标准；供应商可通过派驻专职人员长期驻黄、本地招聘项目管理员、租赁属地临时办公点等任意方式满足本条要求，不强制供应商在黄山市办理工商分支机构注册，相关驻场、差旅、人工成本由成交供应商自行统筹纳入</w:t>
        </w:r>
      </w:ins>
      <w:ins w:id="20" w:author="杨工" w:date="2026-08-10T12:06:07Z">
        <w:r>
          <w:rPr>
            <w:rFonts w:hint="eastAsia" w:ascii="宋体" w:hAnsi="宋体" w:eastAsia="宋体" w:cs="宋体"/>
            <w:color w:val="auto"/>
            <w:sz w:val="24"/>
            <w:szCs w:val="24"/>
            <w:highlight w:val="none"/>
            <w:lang w:val="en-US" w:eastAsia="zh-CN"/>
          </w:rPr>
          <w:t>响应</w:t>
        </w:r>
      </w:ins>
      <w:ins w:id="21" w:author="杨工" w:date="2026-08-10T11:23:23Z">
        <w:r>
          <w:rPr>
            <w:rFonts w:ascii="宋体" w:hAnsi="宋体" w:eastAsia="宋体" w:cs="宋体"/>
            <w:color w:val="auto"/>
            <w:sz w:val="24"/>
            <w:szCs w:val="24"/>
            <w:highlight w:val="none"/>
          </w:rPr>
          <w:t>报价。</w:t>
        </w:r>
      </w:ins>
    </w:p>
    <w:p w14:paraId="4B27766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textAlignment w:val="auto"/>
        <w:outlineLvl w:val="9"/>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本项目服务期内，成交供应商须建立7×24小时专属服务响应机制，接到采购人反馈的劳务人员异动、岗位缺口、用工纠纷处置等各类诉求后，1小时内给出初步协调处置方案；经线上沟通无法闭环解决、确需到场当面协调的问题，供应商须在24小时内指派专属项目对接人员抵达采购人指定办公地点完成问题处置。</w:t>
      </w:r>
    </w:p>
    <w:p w14:paraId="015B31BF">
      <w:pPr>
        <w:numPr>
          <w:ilvl w:val="0"/>
          <w:numId w:val="2"/>
        </w:numPr>
        <w:spacing w:before="0" w:after="0" w:line="360" w:lineRule="auto"/>
        <w:outlineLvl w:val="9"/>
        <w:rPr>
          <w:rFonts w:hint="eastAsia" w:ascii="宋体" w:hAnsi="Arial" w:eastAsia="宋体" w:cs="宋体"/>
          <w:b w:val="0"/>
          <w:bCs w:val="0"/>
          <w:color w:val="auto"/>
          <w:sz w:val="24"/>
          <w:szCs w:val="24"/>
          <w:highlight w:val="none"/>
          <w:lang w:eastAsia="zh-CN"/>
        </w:rPr>
      </w:pPr>
      <w:r>
        <w:rPr>
          <w:rFonts w:hint="eastAsia" w:ascii="宋体" w:hAnsi="Arial" w:eastAsia="宋体" w:cs="宋体"/>
          <w:b w:val="0"/>
          <w:bCs w:val="0"/>
          <w:color w:val="auto"/>
          <w:sz w:val="24"/>
          <w:szCs w:val="24"/>
          <w:highlight w:val="none"/>
          <w:lang w:eastAsia="zh-CN"/>
        </w:rPr>
        <w:t>报价要求</w:t>
      </w:r>
    </w:p>
    <w:p w14:paraId="2433A813">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本项目报价为固定单价合同，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需严格按照</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文件要求编制报价文件，报价一经提交不得随意变更，具体报价核心要求如下：</w:t>
      </w:r>
      <w:r>
        <w:rPr>
          <w:rFonts w:hint="eastAsia" w:ascii="宋体" w:hAnsi="宋体" w:eastAsia="宋体" w:cs="宋体"/>
          <w:color w:val="auto"/>
          <w:sz w:val="24"/>
          <w:szCs w:val="24"/>
          <w:highlight w:val="none"/>
          <w:lang w:val="en-US" w:eastAsia="zh-CN"/>
        </w:rPr>
        <w:t>供应商按月度单人费用填报分项报价，成交单价在服务周期内固定不变，不因人员数量变动、市场波动、政策调整等任何因素上调，供应商需自行承担所有价格波动风险。</w:t>
      </w:r>
    </w:p>
    <w:p w14:paraId="6BEDE871">
      <w:pPr>
        <w:spacing w:line="360" w:lineRule="auto"/>
        <w:ind w:firstLine="435"/>
        <w:jc w:val="center"/>
        <w:outlineLvl w:val="0"/>
        <w:rPr>
          <w:rFonts w:hint="eastAsia" w:ascii="宋体"/>
          <w:b/>
          <w:color w:val="auto"/>
          <w:sz w:val="28"/>
          <w:highlight w:val="none"/>
        </w:rPr>
      </w:pPr>
      <w:r>
        <w:rPr>
          <w:rFonts w:hint="eastAsia" w:ascii="宋体" w:hAnsi="宋体" w:eastAsia="宋体" w:cs="宋体"/>
          <w:color w:val="auto"/>
          <w:sz w:val="24"/>
          <w:szCs w:val="24"/>
          <w:highlight w:val="none"/>
        </w:rPr>
        <w:br w:type="page"/>
      </w:r>
      <w:bookmarkStart w:id="33" w:name="_Toc31508"/>
      <w:r>
        <w:rPr>
          <w:rFonts w:hint="eastAsia" w:ascii="宋体"/>
          <w:b/>
          <w:color w:val="auto"/>
          <w:sz w:val="28"/>
          <w:highlight w:val="none"/>
        </w:rPr>
        <w:t>第四章  评审方法和标准</w:t>
      </w:r>
      <w:bookmarkEnd w:id="33"/>
    </w:p>
    <w:p w14:paraId="128AC629">
      <w:pPr>
        <w:spacing w:line="360" w:lineRule="auto"/>
        <w:ind w:firstLine="437"/>
        <w:outlineLvl w:val="9"/>
        <w:rPr>
          <w:rFonts w:hint="eastAsia" w:ascii="宋体"/>
          <w:b/>
          <w:color w:val="auto"/>
          <w:sz w:val="24"/>
          <w:highlight w:val="none"/>
        </w:rPr>
      </w:pPr>
      <w:r>
        <w:rPr>
          <w:rFonts w:hint="eastAsia" w:ascii="宋体"/>
          <w:b/>
          <w:color w:val="auto"/>
          <w:sz w:val="24"/>
          <w:highlight w:val="none"/>
        </w:rPr>
        <w:t>一、总则</w:t>
      </w:r>
    </w:p>
    <w:p w14:paraId="03FE3BF9">
      <w:pPr>
        <w:spacing w:line="360" w:lineRule="auto"/>
        <w:ind w:firstLine="435"/>
        <w:rPr>
          <w:rFonts w:hint="eastAsia" w:ascii="宋体"/>
          <w:color w:val="auto"/>
          <w:sz w:val="24"/>
          <w:highlight w:val="none"/>
        </w:rPr>
      </w:pPr>
      <w:r>
        <w:rPr>
          <w:rFonts w:hint="eastAsia" w:ascii="宋体"/>
          <w:color w:val="auto"/>
          <w:sz w:val="24"/>
          <w:highlight w:val="none"/>
        </w:rPr>
        <w:t>本项目将按照询比文件第二章供应商须知的相关要求及本章的规定评审。</w:t>
      </w:r>
    </w:p>
    <w:p w14:paraId="14F60213">
      <w:pPr>
        <w:spacing w:line="360" w:lineRule="auto"/>
        <w:ind w:firstLine="437"/>
        <w:outlineLvl w:val="9"/>
        <w:rPr>
          <w:rFonts w:hint="eastAsia" w:ascii="宋体"/>
          <w:b/>
          <w:color w:val="auto"/>
          <w:sz w:val="24"/>
          <w:highlight w:val="none"/>
        </w:rPr>
      </w:pPr>
      <w:r>
        <w:rPr>
          <w:rFonts w:hint="eastAsia" w:ascii="宋体"/>
          <w:b/>
          <w:color w:val="auto"/>
          <w:sz w:val="24"/>
          <w:highlight w:val="none"/>
        </w:rPr>
        <w:t>二、评审方法</w:t>
      </w:r>
    </w:p>
    <w:p w14:paraId="34717C12">
      <w:pPr>
        <w:spacing w:line="360" w:lineRule="auto"/>
        <w:ind w:firstLine="435"/>
        <w:outlineLvl w:val="9"/>
        <w:rPr>
          <w:rFonts w:hint="eastAsia" w:ascii="宋体"/>
          <w:color w:val="auto"/>
          <w:sz w:val="24"/>
          <w:highlight w:val="none"/>
        </w:rPr>
      </w:pPr>
      <w:r>
        <w:rPr>
          <w:rFonts w:hint="eastAsia" w:ascii="宋体"/>
          <w:color w:val="auto"/>
          <w:sz w:val="24"/>
          <w:highlight w:val="none"/>
        </w:rPr>
        <w:t>2.1初审</w:t>
      </w:r>
    </w:p>
    <w:p w14:paraId="78AD970C">
      <w:pPr>
        <w:spacing w:line="360" w:lineRule="auto"/>
        <w:ind w:firstLine="435"/>
        <w:rPr>
          <w:rFonts w:hint="eastAsia" w:ascii="宋体"/>
          <w:color w:val="auto"/>
          <w:sz w:val="24"/>
          <w:highlight w:val="none"/>
        </w:rPr>
      </w:pPr>
      <w:r>
        <w:rPr>
          <w:rFonts w:hint="eastAsia" w:ascii="宋体"/>
          <w:color w:val="auto"/>
          <w:sz w:val="24"/>
          <w:highlight w:val="none"/>
        </w:rPr>
        <w:t>询比小组对供应商的响应文件进行初审，以确定其是否满足询比文件的实质性要求。初审表如下：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657"/>
        <w:gridCol w:w="2267"/>
        <w:gridCol w:w="3891"/>
      </w:tblGrid>
      <w:tr w14:paraId="5EC5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522" w:type="dxa"/>
            <w:gridSpan w:val="4"/>
            <w:tcBorders>
              <w:bottom w:val="single" w:color="auto" w:sz="4" w:space="0"/>
            </w:tcBorders>
            <w:noWrap w:val="0"/>
            <w:vAlign w:val="center"/>
          </w:tcPr>
          <w:p w14:paraId="5E57763D">
            <w:pPr>
              <w:adjustRightInd w:val="0"/>
              <w:snapToGrid w:val="0"/>
              <w:spacing w:line="0" w:lineRule="atLeast"/>
              <w:ind w:right="-10"/>
              <w:jc w:val="center"/>
              <w:rPr>
                <w:rFonts w:hint="eastAsia" w:ascii="宋体"/>
                <w:color w:val="auto"/>
                <w:sz w:val="24"/>
                <w:highlight w:val="none"/>
              </w:rPr>
            </w:pPr>
            <w:r>
              <w:rPr>
                <w:rFonts w:hint="eastAsia" w:ascii="宋体"/>
                <w:b/>
                <w:color w:val="auto"/>
                <w:sz w:val="24"/>
                <w:highlight w:val="none"/>
              </w:rPr>
              <w:t>初审表</w:t>
            </w:r>
          </w:p>
        </w:tc>
      </w:tr>
      <w:tr w14:paraId="32C3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07" w:type="dxa"/>
            <w:tcBorders>
              <w:bottom w:val="single" w:color="auto" w:sz="4" w:space="0"/>
            </w:tcBorders>
            <w:noWrap w:val="0"/>
            <w:vAlign w:val="center"/>
          </w:tcPr>
          <w:p w14:paraId="089915ED">
            <w:pPr>
              <w:adjustRightInd w:val="0"/>
              <w:snapToGrid w:val="0"/>
              <w:spacing w:line="0" w:lineRule="atLeast"/>
              <w:ind w:right="-10"/>
              <w:jc w:val="center"/>
              <w:rPr>
                <w:rFonts w:hint="eastAsia" w:ascii="宋体"/>
                <w:b/>
                <w:bCs/>
                <w:color w:val="auto"/>
                <w:sz w:val="24"/>
                <w:highlight w:val="none"/>
              </w:rPr>
            </w:pPr>
            <w:r>
              <w:rPr>
                <w:rFonts w:hint="eastAsia" w:ascii="宋体"/>
                <w:b/>
                <w:bCs/>
                <w:color w:val="auto"/>
                <w:sz w:val="24"/>
                <w:highlight w:val="none"/>
              </w:rPr>
              <w:t>序号</w:t>
            </w:r>
          </w:p>
        </w:tc>
        <w:tc>
          <w:tcPr>
            <w:tcW w:w="1657" w:type="dxa"/>
            <w:tcBorders>
              <w:bottom w:val="single" w:color="auto" w:sz="4" w:space="0"/>
            </w:tcBorders>
            <w:noWrap w:val="0"/>
            <w:vAlign w:val="center"/>
          </w:tcPr>
          <w:p w14:paraId="7AD9F0EB">
            <w:pPr>
              <w:pStyle w:val="53"/>
              <w:pBdr>
                <w:bottom w:val="none" w:color="auto" w:sz="0" w:space="0"/>
              </w:pBdr>
              <w:tabs>
                <w:tab w:val="clear" w:pos="4153"/>
                <w:tab w:val="clear" w:pos="8306"/>
              </w:tabs>
              <w:snapToGrid w:val="0"/>
              <w:spacing w:line="0" w:lineRule="atLeast"/>
              <w:ind w:right="-10"/>
              <w:textAlignment w:val="auto"/>
              <w:rPr>
                <w:rFonts w:hint="eastAsia" w:ascii="宋体"/>
                <w:b/>
                <w:bCs/>
                <w:color w:val="auto"/>
                <w:szCs w:val="24"/>
                <w:highlight w:val="none"/>
              </w:rPr>
            </w:pPr>
            <w:r>
              <w:rPr>
                <w:rFonts w:hint="eastAsia" w:ascii="宋体"/>
                <w:b/>
                <w:bCs/>
                <w:color w:val="auto"/>
                <w:szCs w:val="24"/>
                <w:highlight w:val="none"/>
              </w:rPr>
              <w:t>评审指标</w:t>
            </w:r>
          </w:p>
        </w:tc>
        <w:tc>
          <w:tcPr>
            <w:tcW w:w="2267" w:type="dxa"/>
            <w:tcBorders>
              <w:bottom w:val="single" w:color="auto" w:sz="4" w:space="0"/>
            </w:tcBorders>
            <w:noWrap w:val="0"/>
            <w:vAlign w:val="center"/>
          </w:tcPr>
          <w:p w14:paraId="3EC3F5FE">
            <w:pPr>
              <w:adjustRightInd w:val="0"/>
              <w:snapToGrid w:val="0"/>
              <w:spacing w:line="0" w:lineRule="atLeast"/>
              <w:ind w:right="-10"/>
              <w:jc w:val="center"/>
              <w:rPr>
                <w:rFonts w:hint="eastAsia" w:ascii="宋体"/>
                <w:b/>
                <w:bCs/>
                <w:color w:val="auto"/>
                <w:sz w:val="24"/>
                <w:highlight w:val="none"/>
              </w:rPr>
            </w:pPr>
            <w:r>
              <w:rPr>
                <w:rFonts w:hint="eastAsia" w:ascii="宋体"/>
                <w:b/>
                <w:bCs/>
                <w:color w:val="auto"/>
                <w:sz w:val="24"/>
                <w:highlight w:val="none"/>
              </w:rPr>
              <w:t>评审标准</w:t>
            </w:r>
          </w:p>
        </w:tc>
        <w:tc>
          <w:tcPr>
            <w:tcW w:w="3891" w:type="dxa"/>
            <w:tcBorders>
              <w:bottom w:val="single" w:color="auto" w:sz="4" w:space="0"/>
            </w:tcBorders>
            <w:noWrap w:val="0"/>
            <w:vAlign w:val="center"/>
          </w:tcPr>
          <w:p w14:paraId="6A3B8523">
            <w:pPr>
              <w:adjustRightInd w:val="0"/>
              <w:snapToGrid w:val="0"/>
              <w:spacing w:line="0" w:lineRule="atLeast"/>
              <w:ind w:right="-10"/>
              <w:jc w:val="center"/>
              <w:rPr>
                <w:rFonts w:hint="eastAsia" w:ascii="宋体"/>
                <w:b/>
                <w:bCs/>
                <w:color w:val="auto"/>
                <w:sz w:val="24"/>
                <w:highlight w:val="none"/>
              </w:rPr>
            </w:pPr>
            <w:r>
              <w:rPr>
                <w:rFonts w:hint="eastAsia" w:ascii="宋体"/>
                <w:b/>
                <w:bCs/>
                <w:color w:val="auto"/>
                <w:sz w:val="24"/>
                <w:highlight w:val="none"/>
              </w:rPr>
              <w:t>格式及材料要求</w:t>
            </w:r>
          </w:p>
        </w:tc>
      </w:tr>
      <w:tr w14:paraId="569D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07" w:type="dxa"/>
            <w:tcBorders>
              <w:bottom w:val="single" w:color="auto" w:sz="4" w:space="0"/>
            </w:tcBorders>
            <w:noWrap w:val="0"/>
            <w:vAlign w:val="center"/>
          </w:tcPr>
          <w:p w14:paraId="30440B5F">
            <w:pPr>
              <w:adjustRightInd w:val="0"/>
              <w:snapToGrid w:val="0"/>
              <w:spacing w:line="0" w:lineRule="atLeast"/>
              <w:ind w:right="-10"/>
              <w:jc w:val="center"/>
              <w:rPr>
                <w:rFonts w:hint="eastAsia" w:ascii="宋体"/>
                <w:color w:val="auto"/>
                <w:sz w:val="24"/>
                <w:highlight w:val="none"/>
              </w:rPr>
            </w:pPr>
            <w:r>
              <w:rPr>
                <w:rFonts w:hint="eastAsia" w:ascii="宋体"/>
                <w:color w:val="auto"/>
                <w:sz w:val="24"/>
                <w:highlight w:val="none"/>
              </w:rPr>
              <w:t>1</w:t>
            </w:r>
          </w:p>
        </w:tc>
        <w:tc>
          <w:tcPr>
            <w:tcW w:w="1657" w:type="dxa"/>
            <w:tcBorders>
              <w:bottom w:val="single" w:color="auto" w:sz="4" w:space="0"/>
            </w:tcBorders>
            <w:noWrap w:val="0"/>
            <w:vAlign w:val="center"/>
          </w:tcPr>
          <w:p w14:paraId="48C3E503">
            <w:pPr>
              <w:spacing w:line="0" w:lineRule="atLeast"/>
              <w:ind w:right="-10"/>
              <w:jc w:val="center"/>
              <w:rPr>
                <w:rFonts w:ascii="宋体"/>
                <w:color w:val="auto"/>
                <w:sz w:val="24"/>
                <w:szCs w:val="28"/>
                <w:highlight w:val="none"/>
              </w:rPr>
            </w:pPr>
            <w:r>
              <w:rPr>
                <w:rFonts w:hint="eastAsia" w:ascii="宋体"/>
                <w:color w:val="auto"/>
                <w:sz w:val="24"/>
                <w:szCs w:val="28"/>
                <w:highlight w:val="none"/>
              </w:rPr>
              <w:t>营业执照等证明</w:t>
            </w:r>
          </w:p>
        </w:tc>
        <w:tc>
          <w:tcPr>
            <w:tcW w:w="2267" w:type="dxa"/>
            <w:tcBorders>
              <w:bottom w:val="single" w:color="auto" w:sz="4" w:space="0"/>
            </w:tcBorders>
            <w:noWrap w:val="0"/>
            <w:vAlign w:val="center"/>
          </w:tcPr>
          <w:p w14:paraId="31DBCD0F">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合法有效</w:t>
            </w:r>
          </w:p>
        </w:tc>
        <w:tc>
          <w:tcPr>
            <w:tcW w:w="3891" w:type="dxa"/>
            <w:noWrap w:val="0"/>
            <w:vAlign w:val="center"/>
          </w:tcPr>
          <w:p w14:paraId="3C050250">
            <w:pPr>
              <w:spacing w:line="0" w:lineRule="atLeast"/>
              <w:jc w:val="left"/>
              <w:rPr>
                <w:rFonts w:hint="eastAsia" w:ascii="宋体"/>
                <w:color w:val="auto"/>
                <w:sz w:val="24"/>
                <w:highlight w:val="none"/>
              </w:rPr>
            </w:pPr>
            <w:r>
              <w:rPr>
                <w:rFonts w:hint="eastAsia" w:ascii="宋体"/>
                <w:color w:val="auto"/>
                <w:sz w:val="24"/>
                <w:highlight w:val="none"/>
              </w:rPr>
              <w:t>提供有效的营业执照（或事业单位法人登记证书或社会团体法人登记证书或民办非企业登记证书或社会服务机构登记证书）的扫描件，应完整地体现出营业执照（或事业单位法人登记证书或社会团体法人登记证书或民办非企业登记证书或社会服务机构登记证书）的全部内容。联合体参加的联合体各方均须提供。</w:t>
            </w:r>
          </w:p>
        </w:tc>
      </w:tr>
      <w:tr w14:paraId="759F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Borders>
              <w:bottom w:val="single" w:color="auto" w:sz="4" w:space="0"/>
            </w:tcBorders>
            <w:noWrap w:val="0"/>
            <w:vAlign w:val="center"/>
          </w:tcPr>
          <w:p w14:paraId="59815907">
            <w:pPr>
              <w:adjustRightInd w:val="0"/>
              <w:snapToGrid w:val="0"/>
              <w:spacing w:line="0" w:lineRule="atLeast"/>
              <w:ind w:right="-10"/>
              <w:jc w:val="center"/>
              <w:rPr>
                <w:rFonts w:hint="eastAsia" w:ascii="宋体"/>
                <w:color w:val="auto"/>
                <w:sz w:val="24"/>
                <w:highlight w:val="none"/>
              </w:rPr>
            </w:pPr>
            <w:r>
              <w:rPr>
                <w:rFonts w:hint="eastAsia" w:ascii="宋体"/>
                <w:color w:val="auto"/>
                <w:sz w:val="24"/>
                <w:highlight w:val="none"/>
              </w:rPr>
              <w:t>2</w:t>
            </w:r>
          </w:p>
        </w:tc>
        <w:tc>
          <w:tcPr>
            <w:tcW w:w="1657" w:type="dxa"/>
            <w:tcBorders>
              <w:bottom w:val="single" w:color="auto" w:sz="4" w:space="0"/>
            </w:tcBorders>
            <w:noWrap w:val="0"/>
            <w:vAlign w:val="center"/>
          </w:tcPr>
          <w:p w14:paraId="6CCCDAA6">
            <w:pPr>
              <w:spacing w:line="0" w:lineRule="atLeast"/>
              <w:ind w:right="-10"/>
              <w:jc w:val="center"/>
              <w:rPr>
                <w:rFonts w:hint="eastAsia" w:ascii="宋体"/>
                <w:color w:val="auto"/>
                <w:sz w:val="24"/>
                <w:szCs w:val="28"/>
                <w:highlight w:val="none"/>
              </w:rPr>
            </w:pPr>
            <w:r>
              <w:rPr>
                <w:rFonts w:hint="eastAsia" w:ascii="宋体"/>
                <w:color w:val="auto"/>
                <w:sz w:val="24"/>
                <w:szCs w:val="18"/>
                <w:highlight w:val="none"/>
              </w:rPr>
              <w:t>不良信用记录查询</w:t>
            </w:r>
          </w:p>
        </w:tc>
        <w:tc>
          <w:tcPr>
            <w:tcW w:w="2267" w:type="dxa"/>
            <w:tcBorders>
              <w:bottom w:val="single" w:color="auto" w:sz="4" w:space="0"/>
            </w:tcBorders>
            <w:noWrap w:val="0"/>
            <w:vAlign w:val="center"/>
          </w:tcPr>
          <w:p w14:paraId="6485FE02">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供应商不得存在供应商</w:t>
            </w:r>
            <w:r>
              <w:rPr>
                <w:rFonts w:hint="eastAsia" w:ascii="宋体"/>
                <w:color w:val="auto"/>
                <w:sz w:val="24"/>
                <w:highlight w:val="none"/>
              </w:rPr>
              <w:t>须知第19.3.1.1条</w:t>
            </w:r>
            <w:r>
              <w:rPr>
                <w:rFonts w:hint="eastAsia" w:ascii="宋体"/>
                <w:color w:val="auto"/>
                <w:sz w:val="24"/>
                <w:szCs w:val="28"/>
                <w:highlight w:val="none"/>
              </w:rPr>
              <w:t>中的</w:t>
            </w:r>
            <w:r>
              <w:rPr>
                <w:rFonts w:hint="eastAsia" w:ascii="宋体"/>
                <w:color w:val="auto"/>
                <w:sz w:val="24"/>
                <w:szCs w:val="18"/>
                <w:highlight w:val="none"/>
              </w:rPr>
              <w:t>不良信用记录情形</w:t>
            </w:r>
          </w:p>
        </w:tc>
        <w:tc>
          <w:tcPr>
            <w:tcW w:w="3891" w:type="dxa"/>
            <w:tcBorders>
              <w:bottom w:val="single" w:color="auto" w:sz="4" w:space="0"/>
            </w:tcBorders>
            <w:noWrap w:val="0"/>
            <w:vAlign w:val="center"/>
          </w:tcPr>
          <w:p w14:paraId="2B95D7BD">
            <w:pPr>
              <w:adjustRightInd w:val="0"/>
              <w:snapToGrid w:val="0"/>
              <w:spacing w:line="0" w:lineRule="atLeast"/>
              <w:ind w:right="-10"/>
              <w:jc w:val="left"/>
              <w:rPr>
                <w:rFonts w:hint="eastAsia" w:ascii="宋体"/>
                <w:color w:val="auto"/>
                <w:sz w:val="24"/>
                <w:highlight w:val="none"/>
              </w:rPr>
            </w:pPr>
            <w:r>
              <w:rPr>
                <w:rFonts w:hint="eastAsia" w:ascii="宋体"/>
                <w:color w:val="auto"/>
                <w:sz w:val="24"/>
                <w:highlight w:val="none"/>
              </w:rPr>
              <w:t>详见供应商须知第</w:t>
            </w:r>
            <w:bookmarkStart w:id="34" w:name="OLE_LINK4"/>
            <w:r>
              <w:rPr>
                <w:rFonts w:hint="eastAsia" w:ascii="宋体"/>
                <w:color w:val="auto"/>
                <w:sz w:val="24"/>
                <w:highlight w:val="none"/>
              </w:rPr>
              <w:t>19.3.1</w:t>
            </w:r>
            <w:bookmarkEnd w:id="34"/>
            <w:r>
              <w:rPr>
                <w:rFonts w:hint="eastAsia" w:ascii="宋体"/>
                <w:color w:val="auto"/>
                <w:sz w:val="24"/>
                <w:highlight w:val="none"/>
              </w:rPr>
              <w:t>条要求</w:t>
            </w:r>
          </w:p>
        </w:tc>
      </w:tr>
      <w:tr w14:paraId="2E5D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Borders>
              <w:bottom w:val="single" w:color="auto" w:sz="4" w:space="0"/>
            </w:tcBorders>
            <w:noWrap w:val="0"/>
            <w:vAlign w:val="center"/>
          </w:tcPr>
          <w:p w14:paraId="7FBC7B2B">
            <w:pPr>
              <w:adjustRightInd w:val="0"/>
              <w:snapToGrid w:val="0"/>
              <w:spacing w:line="0" w:lineRule="atLeast"/>
              <w:ind w:right="-10"/>
              <w:jc w:val="center"/>
              <w:rPr>
                <w:rFonts w:hint="eastAsia" w:ascii="宋体"/>
                <w:color w:val="auto"/>
                <w:sz w:val="24"/>
                <w:highlight w:val="none"/>
              </w:rPr>
            </w:pPr>
            <w:r>
              <w:rPr>
                <w:rFonts w:hint="eastAsia" w:ascii="宋体"/>
                <w:color w:val="auto"/>
                <w:sz w:val="24"/>
                <w:highlight w:val="none"/>
              </w:rPr>
              <w:t>3</w:t>
            </w:r>
          </w:p>
        </w:tc>
        <w:tc>
          <w:tcPr>
            <w:tcW w:w="1657" w:type="dxa"/>
            <w:tcBorders>
              <w:bottom w:val="single" w:color="auto" w:sz="4" w:space="0"/>
            </w:tcBorders>
            <w:noWrap w:val="0"/>
            <w:vAlign w:val="center"/>
          </w:tcPr>
          <w:p w14:paraId="4CA453B2">
            <w:pPr>
              <w:spacing w:line="0" w:lineRule="atLeast"/>
              <w:ind w:right="-10"/>
              <w:jc w:val="center"/>
              <w:rPr>
                <w:rFonts w:hint="eastAsia" w:ascii="宋体"/>
                <w:color w:val="auto"/>
                <w:sz w:val="24"/>
                <w:szCs w:val="18"/>
                <w:highlight w:val="none"/>
              </w:rPr>
            </w:pPr>
            <w:r>
              <w:rPr>
                <w:rFonts w:hint="eastAsia" w:ascii="宋体"/>
                <w:color w:val="auto"/>
                <w:sz w:val="24"/>
                <w:szCs w:val="28"/>
                <w:highlight w:val="none"/>
              </w:rPr>
              <w:t>无重大违法记录声明函、无不良信用记录声明函</w:t>
            </w:r>
          </w:p>
        </w:tc>
        <w:tc>
          <w:tcPr>
            <w:tcW w:w="2267" w:type="dxa"/>
            <w:tcBorders>
              <w:bottom w:val="single" w:color="auto" w:sz="4" w:space="0"/>
            </w:tcBorders>
            <w:noWrap w:val="0"/>
            <w:vAlign w:val="center"/>
          </w:tcPr>
          <w:p w14:paraId="574E0EA6">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格式、填写要求符合询比文件规定并加盖供应商公章</w:t>
            </w:r>
          </w:p>
        </w:tc>
        <w:tc>
          <w:tcPr>
            <w:tcW w:w="3891" w:type="dxa"/>
            <w:tcBorders>
              <w:bottom w:val="single" w:color="auto" w:sz="4" w:space="0"/>
            </w:tcBorders>
            <w:noWrap w:val="0"/>
            <w:vAlign w:val="center"/>
          </w:tcPr>
          <w:p w14:paraId="63D46C57">
            <w:pPr>
              <w:adjustRightInd w:val="0"/>
              <w:snapToGrid w:val="0"/>
              <w:spacing w:line="0" w:lineRule="atLeast"/>
              <w:ind w:right="-10"/>
              <w:jc w:val="left"/>
              <w:rPr>
                <w:rFonts w:hint="eastAsia" w:ascii="宋体"/>
                <w:color w:val="auto"/>
                <w:sz w:val="24"/>
                <w:highlight w:val="none"/>
              </w:rPr>
            </w:pPr>
            <w:r>
              <w:rPr>
                <w:rFonts w:hint="eastAsia" w:ascii="宋体"/>
                <w:color w:val="auto"/>
                <w:sz w:val="24"/>
                <w:highlight w:val="none"/>
              </w:rPr>
              <w:t>详见第六章响应文件</w:t>
            </w:r>
          </w:p>
        </w:tc>
      </w:tr>
      <w:tr w14:paraId="58B4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Borders>
              <w:bottom w:val="single" w:color="auto" w:sz="4" w:space="0"/>
            </w:tcBorders>
            <w:noWrap w:val="0"/>
            <w:vAlign w:val="center"/>
          </w:tcPr>
          <w:p w14:paraId="517072F6">
            <w:pPr>
              <w:adjustRightInd w:val="0"/>
              <w:snapToGrid w:val="0"/>
              <w:spacing w:line="0" w:lineRule="atLeast"/>
              <w:ind w:right="-10"/>
              <w:jc w:val="center"/>
              <w:rPr>
                <w:rFonts w:hint="eastAsia" w:ascii="宋体"/>
                <w:color w:val="auto"/>
                <w:sz w:val="24"/>
                <w:highlight w:val="none"/>
              </w:rPr>
            </w:pPr>
            <w:r>
              <w:rPr>
                <w:rFonts w:hint="eastAsia" w:ascii="宋体"/>
                <w:color w:val="auto"/>
                <w:sz w:val="24"/>
                <w:highlight w:val="none"/>
              </w:rPr>
              <w:t>4</w:t>
            </w:r>
          </w:p>
        </w:tc>
        <w:tc>
          <w:tcPr>
            <w:tcW w:w="1657" w:type="dxa"/>
            <w:tcBorders>
              <w:bottom w:val="single" w:color="auto" w:sz="4" w:space="0"/>
            </w:tcBorders>
            <w:noWrap w:val="0"/>
            <w:vAlign w:val="center"/>
          </w:tcPr>
          <w:p w14:paraId="4C9C1FBC">
            <w:pPr>
              <w:spacing w:line="0" w:lineRule="atLeast"/>
              <w:ind w:right="-10"/>
              <w:jc w:val="center"/>
              <w:rPr>
                <w:rFonts w:hint="eastAsia" w:ascii="宋体" w:eastAsia="宋体"/>
                <w:color w:val="auto"/>
                <w:sz w:val="24"/>
                <w:szCs w:val="28"/>
                <w:highlight w:val="none"/>
                <w:lang w:eastAsia="zh-CN"/>
              </w:rPr>
            </w:pPr>
            <w:r>
              <w:rPr>
                <w:rFonts w:hint="eastAsia" w:ascii="宋体"/>
                <w:color w:val="auto"/>
                <w:sz w:val="24"/>
                <w:szCs w:val="28"/>
                <w:highlight w:val="none"/>
              </w:rPr>
              <w:t>询比响应</w:t>
            </w:r>
            <w:r>
              <w:rPr>
                <w:rFonts w:hint="eastAsia" w:ascii="宋体"/>
                <w:color w:val="auto"/>
                <w:sz w:val="24"/>
                <w:szCs w:val="28"/>
                <w:highlight w:val="none"/>
                <w:lang w:eastAsia="zh-CN"/>
              </w:rPr>
              <w:t>函</w:t>
            </w:r>
          </w:p>
        </w:tc>
        <w:tc>
          <w:tcPr>
            <w:tcW w:w="2267" w:type="dxa"/>
            <w:tcBorders>
              <w:bottom w:val="single" w:color="auto" w:sz="4" w:space="0"/>
            </w:tcBorders>
            <w:noWrap w:val="0"/>
            <w:vAlign w:val="center"/>
          </w:tcPr>
          <w:p w14:paraId="29605242">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格式、填写要求符合询比文件规定并加盖供应商公章</w:t>
            </w:r>
          </w:p>
        </w:tc>
        <w:tc>
          <w:tcPr>
            <w:tcW w:w="3891" w:type="dxa"/>
            <w:tcBorders>
              <w:bottom w:val="single" w:color="auto" w:sz="4" w:space="0"/>
            </w:tcBorders>
            <w:noWrap w:val="0"/>
            <w:vAlign w:val="center"/>
          </w:tcPr>
          <w:p w14:paraId="54344E21">
            <w:pPr>
              <w:adjustRightInd w:val="0"/>
              <w:snapToGrid w:val="0"/>
              <w:spacing w:line="0" w:lineRule="atLeast"/>
              <w:ind w:right="-10"/>
              <w:jc w:val="left"/>
              <w:rPr>
                <w:rFonts w:hint="eastAsia" w:ascii="宋体" w:eastAsia="宋体"/>
                <w:color w:val="auto"/>
                <w:sz w:val="24"/>
                <w:highlight w:val="none"/>
                <w:lang w:eastAsia="zh-CN"/>
              </w:rPr>
            </w:pPr>
            <w:r>
              <w:rPr>
                <w:rFonts w:hint="eastAsia" w:ascii="宋体"/>
                <w:color w:val="auto"/>
                <w:sz w:val="24"/>
                <w:highlight w:val="none"/>
              </w:rPr>
              <w:t>详见第六章响应文件</w:t>
            </w:r>
          </w:p>
        </w:tc>
      </w:tr>
      <w:tr w14:paraId="1230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Borders>
              <w:bottom w:val="single" w:color="auto" w:sz="4" w:space="0"/>
            </w:tcBorders>
            <w:noWrap w:val="0"/>
            <w:vAlign w:val="center"/>
          </w:tcPr>
          <w:p w14:paraId="2A60E8C9">
            <w:pPr>
              <w:adjustRightInd w:val="0"/>
              <w:snapToGrid w:val="0"/>
              <w:spacing w:line="0" w:lineRule="atLeast"/>
              <w:ind w:right="-10"/>
              <w:jc w:val="center"/>
              <w:rPr>
                <w:rFonts w:hint="eastAsia" w:ascii="宋体"/>
                <w:color w:val="auto"/>
                <w:sz w:val="24"/>
                <w:highlight w:val="none"/>
              </w:rPr>
            </w:pPr>
            <w:r>
              <w:rPr>
                <w:rFonts w:hint="eastAsia" w:ascii="宋体"/>
                <w:color w:val="auto"/>
                <w:sz w:val="24"/>
                <w:highlight w:val="none"/>
              </w:rPr>
              <w:t>5</w:t>
            </w:r>
          </w:p>
        </w:tc>
        <w:tc>
          <w:tcPr>
            <w:tcW w:w="1657" w:type="dxa"/>
            <w:tcBorders>
              <w:bottom w:val="single" w:color="auto" w:sz="4" w:space="0"/>
            </w:tcBorders>
            <w:noWrap w:val="0"/>
            <w:vAlign w:val="center"/>
          </w:tcPr>
          <w:p w14:paraId="324088B1">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询比授权书</w:t>
            </w:r>
          </w:p>
        </w:tc>
        <w:tc>
          <w:tcPr>
            <w:tcW w:w="2267" w:type="dxa"/>
            <w:tcBorders>
              <w:bottom w:val="single" w:color="auto" w:sz="4" w:space="0"/>
            </w:tcBorders>
            <w:noWrap w:val="0"/>
            <w:vAlign w:val="center"/>
          </w:tcPr>
          <w:p w14:paraId="625DC860">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格式、填写要求符合询比文件规定并加盖供应商公章</w:t>
            </w:r>
          </w:p>
        </w:tc>
        <w:tc>
          <w:tcPr>
            <w:tcW w:w="3891" w:type="dxa"/>
            <w:tcBorders>
              <w:bottom w:val="single" w:color="auto" w:sz="4" w:space="0"/>
            </w:tcBorders>
            <w:noWrap w:val="0"/>
            <w:vAlign w:val="center"/>
          </w:tcPr>
          <w:p w14:paraId="00079E93">
            <w:pPr>
              <w:adjustRightInd w:val="0"/>
              <w:snapToGrid w:val="0"/>
              <w:spacing w:line="0" w:lineRule="atLeast"/>
              <w:ind w:right="-10"/>
              <w:jc w:val="left"/>
              <w:rPr>
                <w:rFonts w:hint="eastAsia" w:ascii="宋体" w:eastAsia="宋体"/>
                <w:color w:val="auto"/>
                <w:sz w:val="24"/>
                <w:highlight w:val="none"/>
                <w:lang w:eastAsia="zh-CN"/>
              </w:rPr>
            </w:pPr>
            <w:r>
              <w:rPr>
                <w:rFonts w:hint="eastAsia" w:ascii="宋体"/>
                <w:color w:val="auto"/>
                <w:sz w:val="24"/>
                <w:highlight w:val="none"/>
              </w:rPr>
              <w:t>法定代表人参加询比的无需此件，提供身份证明即可。详见第六章响应文件</w:t>
            </w:r>
          </w:p>
        </w:tc>
      </w:tr>
      <w:tr w14:paraId="63B9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63970CF7">
            <w:pPr>
              <w:adjustRightInd w:val="0"/>
              <w:snapToGrid w:val="0"/>
              <w:spacing w:line="0" w:lineRule="atLeast"/>
              <w:ind w:right="-10"/>
              <w:jc w:val="center"/>
              <w:rPr>
                <w:rFonts w:hint="eastAsia" w:ascii="宋体" w:eastAsia="宋体"/>
                <w:color w:val="auto"/>
                <w:sz w:val="24"/>
                <w:highlight w:val="none"/>
                <w:lang w:val="en-US" w:eastAsia="zh-CN"/>
              </w:rPr>
            </w:pPr>
            <w:r>
              <w:rPr>
                <w:rFonts w:hint="eastAsia" w:ascii="宋体"/>
                <w:color w:val="auto"/>
                <w:sz w:val="24"/>
                <w:highlight w:val="none"/>
                <w:lang w:val="en-US" w:eastAsia="zh-CN"/>
              </w:rPr>
              <w:t>6</w:t>
            </w:r>
          </w:p>
        </w:tc>
        <w:tc>
          <w:tcPr>
            <w:tcW w:w="1657" w:type="dxa"/>
            <w:noWrap w:val="0"/>
            <w:vAlign w:val="center"/>
          </w:tcPr>
          <w:p w14:paraId="3F596C10">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询比报价</w:t>
            </w:r>
          </w:p>
        </w:tc>
        <w:tc>
          <w:tcPr>
            <w:tcW w:w="2267" w:type="dxa"/>
            <w:noWrap w:val="0"/>
            <w:vAlign w:val="center"/>
          </w:tcPr>
          <w:p w14:paraId="5CBA4CBE">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符合询比</w:t>
            </w:r>
            <w:r>
              <w:rPr>
                <w:rFonts w:hint="eastAsia" w:ascii="宋体"/>
                <w:color w:val="auto"/>
                <w:sz w:val="24"/>
                <w:highlight w:val="none"/>
              </w:rPr>
              <w:t>文件供应商须知正文第12条要求</w:t>
            </w:r>
          </w:p>
        </w:tc>
        <w:tc>
          <w:tcPr>
            <w:tcW w:w="3891" w:type="dxa"/>
            <w:noWrap w:val="0"/>
            <w:vAlign w:val="center"/>
          </w:tcPr>
          <w:p w14:paraId="4036225C">
            <w:pPr>
              <w:adjustRightInd w:val="0"/>
              <w:snapToGrid w:val="0"/>
              <w:spacing w:line="0" w:lineRule="atLeast"/>
              <w:ind w:right="-10"/>
              <w:jc w:val="left"/>
              <w:rPr>
                <w:rFonts w:hint="eastAsia" w:ascii="宋体"/>
                <w:color w:val="auto"/>
                <w:sz w:val="24"/>
                <w:highlight w:val="none"/>
              </w:rPr>
            </w:pPr>
            <w:r>
              <w:rPr>
                <w:rFonts w:hint="eastAsia" w:ascii="宋体"/>
                <w:color w:val="auto"/>
                <w:sz w:val="24"/>
                <w:highlight w:val="none"/>
              </w:rPr>
              <w:t>详见第六章响应文件</w:t>
            </w:r>
          </w:p>
        </w:tc>
      </w:tr>
      <w:tr w14:paraId="2832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20821C35">
            <w:pPr>
              <w:adjustRightInd w:val="0"/>
              <w:snapToGrid w:val="0"/>
              <w:spacing w:line="0" w:lineRule="atLeast"/>
              <w:ind w:right="-10"/>
              <w:jc w:val="center"/>
              <w:rPr>
                <w:rFonts w:hint="eastAsia" w:ascii="宋体" w:eastAsia="宋体"/>
                <w:color w:val="auto"/>
                <w:sz w:val="24"/>
                <w:highlight w:val="none"/>
                <w:lang w:val="en-US" w:eastAsia="zh-CN"/>
              </w:rPr>
            </w:pPr>
            <w:r>
              <w:rPr>
                <w:rFonts w:hint="eastAsia" w:ascii="宋体"/>
                <w:color w:val="auto"/>
                <w:sz w:val="24"/>
                <w:highlight w:val="none"/>
                <w:lang w:val="en-US" w:eastAsia="zh-CN"/>
              </w:rPr>
              <w:t>7</w:t>
            </w:r>
          </w:p>
        </w:tc>
        <w:tc>
          <w:tcPr>
            <w:tcW w:w="1657" w:type="dxa"/>
            <w:noWrap w:val="0"/>
            <w:vAlign w:val="center"/>
          </w:tcPr>
          <w:p w14:paraId="004C87FC">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lang w:eastAsia="zh-CN"/>
              </w:rPr>
              <w:t>询比</w:t>
            </w:r>
            <w:r>
              <w:rPr>
                <w:rFonts w:hint="eastAsia" w:ascii="宋体"/>
                <w:color w:val="auto"/>
                <w:sz w:val="24"/>
                <w:szCs w:val="28"/>
                <w:highlight w:val="none"/>
              </w:rPr>
              <w:t>响应情况</w:t>
            </w:r>
          </w:p>
        </w:tc>
        <w:tc>
          <w:tcPr>
            <w:tcW w:w="2267" w:type="dxa"/>
            <w:noWrap w:val="0"/>
            <w:vAlign w:val="center"/>
          </w:tcPr>
          <w:p w14:paraId="53EE17DB">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符合询比文件采购需求中付款方式、</w:t>
            </w:r>
            <w:r>
              <w:rPr>
                <w:rFonts w:hint="eastAsia" w:ascii="宋体"/>
                <w:color w:val="auto"/>
                <w:sz w:val="24"/>
                <w:szCs w:val="28"/>
                <w:highlight w:val="none"/>
                <w:lang w:eastAsia="zh-CN"/>
              </w:rPr>
              <w:t>服务期限</w:t>
            </w:r>
            <w:r>
              <w:rPr>
                <w:rFonts w:hint="eastAsia" w:ascii="宋体"/>
                <w:color w:val="auto"/>
                <w:sz w:val="24"/>
                <w:szCs w:val="28"/>
                <w:highlight w:val="none"/>
              </w:rPr>
              <w:t>、</w:t>
            </w:r>
            <w:r>
              <w:rPr>
                <w:rFonts w:hint="eastAsia" w:ascii="宋体"/>
                <w:color w:val="auto"/>
                <w:sz w:val="24"/>
                <w:szCs w:val="28"/>
                <w:highlight w:val="none"/>
                <w:lang w:eastAsia="zh-CN"/>
              </w:rPr>
              <w:t>服务地点</w:t>
            </w:r>
            <w:r>
              <w:rPr>
                <w:rFonts w:hint="eastAsia" w:ascii="宋体"/>
                <w:color w:val="auto"/>
                <w:sz w:val="24"/>
                <w:szCs w:val="28"/>
                <w:highlight w:val="none"/>
              </w:rPr>
              <w:t>的要求</w:t>
            </w:r>
          </w:p>
        </w:tc>
        <w:tc>
          <w:tcPr>
            <w:tcW w:w="3891" w:type="dxa"/>
            <w:noWrap w:val="0"/>
            <w:vAlign w:val="center"/>
          </w:tcPr>
          <w:p w14:paraId="518C3DDF">
            <w:pPr>
              <w:adjustRightInd w:val="0"/>
              <w:snapToGrid w:val="0"/>
              <w:spacing w:line="0" w:lineRule="atLeast"/>
              <w:ind w:right="-10"/>
              <w:jc w:val="left"/>
              <w:rPr>
                <w:rFonts w:hint="eastAsia" w:ascii="宋体"/>
                <w:color w:val="auto"/>
                <w:sz w:val="24"/>
                <w:highlight w:val="none"/>
              </w:rPr>
            </w:pPr>
            <w:r>
              <w:rPr>
                <w:rFonts w:hint="eastAsia" w:ascii="宋体"/>
                <w:color w:val="auto"/>
                <w:sz w:val="24"/>
                <w:highlight w:val="none"/>
              </w:rPr>
              <w:t>详见第六章响应文件</w:t>
            </w:r>
          </w:p>
        </w:tc>
      </w:tr>
      <w:tr w14:paraId="2F20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7B382508">
            <w:pPr>
              <w:adjustRightInd w:val="0"/>
              <w:snapToGrid w:val="0"/>
              <w:spacing w:line="0" w:lineRule="atLeast"/>
              <w:ind w:right="-10"/>
              <w:jc w:val="center"/>
              <w:rPr>
                <w:rFonts w:hint="default" w:ascii="宋体"/>
                <w:color w:val="auto"/>
                <w:sz w:val="24"/>
                <w:highlight w:val="none"/>
                <w:lang w:val="en-US" w:eastAsia="zh-CN"/>
              </w:rPr>
            </w:pPr>
            <w:r>
              <w:rPr>
                <w:rFonts w:hint="eastAsia" w:ascii="宋体"/>
                <w:color w:val="auto"/>
                <w:sz w:val="24"/>
                <w:highlight w:val="none"/>
                <w:lang w:val="en-US" w:eastAsia="zh-CN"/>
              </w:rPr>
              <w:t>8</w:t>
            </w:r>
          </w:p>
        </w:tc>
        <w:tc>
          <w:tcPr>
            <w:tcW w:w="1657" w:type="dxa"/>
            <w:noWrap w:val="0"/>
            <w:vAlign w:val="center"/>
          </w:tcPr>
          <w:p w14:paraId="5D640616">
            <w:pPr>
              <w:spacing w:line="0" w:lineRule="atLeast"/>
              <w:ind w:right="-10"/>
              <w:jc w:val="center"/>
              <w:rPr>
                <w:rFonts w:hint="eastAsia" w:ascii="宋体"/>
                <w:color w:val="auto"/>
                <w:sz w:val="24"/>
                <w:szCs w:val="28"/>
                <w:highlight w:val="none"/>
                <w:lang w:eastAsia="zh-CN"/>
              </w:rPr>
            </w:pPr>
            <w:r>
              <w:rPr>
                <w:rFonts w:hint="eastAsia" w:ascii="宋体" w:hAnsi="宋体" w:eastAsia="宋体" w:cs="宋体"/>
                <w:color w:val="auto"/>
                <w:spacing w:val="10"/>
                <w:sz w:val="24"/>
                <w:szCs w:val="24"/>
                <w:highlight w:val="none"/>
              </w:rPr>
              <w:t>本项目的</w:t>
            </w:r>
            <w:r>
              <w:rPr>
                <w:rFonts w:ascii="宋体" w:hAnsi="宋体" w:eastAsia="宋体" w:cs="宋体"/>
                <w:color w:val="auto"/>
                <w:spacing w:val="10"/>
                <w:sz w:val="24"/>
                <w:szCs w:val="24"/>
                <w:highlight w:val="none"/>
              </w:rPr>
              <w:t>特定资格要求</w:t>
            </w:r>
          </w:p>
        </w:tc>
        <w:tc>
          <w:tcPr>
            <w:tcW w:w="2267" w:type="dxa"/>
            <w:noWrap w:val="0"/>
            <w:vAlign w:val="center"/>
          </w:tcPr>
          <w:p w14:paraId="312FF6AB">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lang w:val="en-US" w:eastAsia="zh-CN"/>
              </w:rPr>
              <w:t>符合询比文件规定</w:t>
            </w:r>
          </w:p>
        </w:tc>
        <w:tc>
          <w:tcPr>
            <w:tcW w:w="3891" w:type="dxa"/>
            <w:noWrap w:val="0"/>
            <w:vAlign w:val="center"/>
          </w:tcPr>
          <w:p w14:paraId="76F9BD6F">
            <w:pPr>
              <w:adjustRightInd w:val="0"/>
              <w:snapToGrid w:val="0"/>
              <w:spacing w:line="0" w:lineRule="atLeast"/>
              <w:ind w:right="-10"/>
              <w:jc w:val="left"/>
              <w:rPr>
                <w:rFonts w:hint="eastAsia" w:ascii="宋体"/>
                <w:color w:val="auto"/>
                <w:sz w:val="24"/>
                <w:highlight w:val="none"/>
              </w:rPr>
            </w:pPr>
            <w:r>
              <w:rPr>
                <w:rFonts w:hint="eastAsia" w:ascii="宋体"/>
                <w:color w:val="auto"/>
                <w:sz w:val="24"/>
                <w:highlight w:val="none"/>
              </w:rPr>
              <w:t>提供原件复制件</w:t>
            </w:r>
          </w:p>
        </w:tc>
      </w:tr>
      <w:tr w14:paraId="62C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45E9B31E">
            <w:pPr>
              <w:adjustRightInd w:val="0"/>
              <w:snapToGrid w:val="0"/>
              <w:spacing w:line="0" w:lineRule="atLeast"/>
              <w:ind w:right="-10"/>
              <w:jc w:val="center"/>
              <w:rPr>
                <w:rFonts w:hint="default" w:ascii="宋体" w:eastAsia="宋体"/>
                <w:color w:val="auto"/>
                <w:sz w:val="24"/>
                <w:highlight w:val="none"/>
                <w:lang w:val="en-US" w:eastAsia="zh-CN"/>
              </w:rPr>
            </w:pPr>
            <w:r>
              <w:rPr>
                <w:rFonts w:hint="eastAsia" w:ascii="宋体" w:eastAsia="宋体"/>
                <w:color w:val="auto"/>
                <w:sz w:val="24"/>
                <w:highlight w:val="none"/>
                <w:lang w:val="en-US" w:eastAsia="zh-CN"/>
              </w:rPr>
              <w:t>9</w:t>
            </w:r>
          </w:p>
        </w:tc>
        <w:tc>
          <w:tcPr>
            <w:tcW w:w="1657" w:type="dxa"/>
            <w:noWrap w:val="0"/>
            <w:vAlign w:val="center"/>
          </w:tcPr>
          <w:p w14:paraId="105E51C0">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其他要求</w:t>
            </w:r>
          </w:p>
        </w:tc>
        <w:tc>
          <w:tcPr>
            <w:tcW w:w="2267" w:type="dxa"/>
            <w:noWrap w:val="0"/>
            <w:vAlign w:val="center"/>
          </w:tcPr>
          <w:p w14:paraId="47E1C998">
            <w:pPr>
              <w:spacing w:line="0" w:lineRule="atLeast"/>
              <w:ind w:right="-10"/>
              <w:jc w:val="center"/>
              <w:rPr>
                <w:rFonts w:hint="eastAsia" w:ascii="宋体"/>
                <w:color w:val="auto"/>
                <w:sz w:val="24"/>
                <w:szCs w:val="28"/>
                <w:highlight w:val="none"/>
              </w:rPr>
            </w:pPr>
            <w:r>
              <w:rPr>
                <w:rFonts w:hint="eastAsia" w:ascii="宋体"/>
                <w:color w:val="auto"/>
                <w:sz w:val="24"/>
                <w:szCs w:val="28"/>
                <w:highlight w:val="none"/>
              </w:rPr>
              <w:t>符合法律、行政法规规定的其他条件或询比文件列明的其他要求</w:t>
            </w:r>
          </w:p>
        </w:tc>
        <w:tc>
          <w:tcPr>
            <w:tcW w:w="3891" w:type="dxa"/>
            <w:noWrap w:val="0"/>
            <w:vAlign w:val="center"/>
          </w:tcPr>
          <w:p w14:paraId="340F9C3A">
            <w:pPr>
              <w:adjustRightInd w:val="0"/>
              <w:snapToGrid w:val="0"/>
              <w:spacing w:line="0" w:lineRule="atLeast"/>
              <w:ind w:right="-10"/>
              <w:jc w:val="left"/>
              <w:rPr>
                <w:rFonts w:hint="eastAsia" w:ascii="宋体"/>
                <w:color w:val="auto"/>
                <w:sz w:val="24"/>
                <w:highlight w:val="none"/>
              </w:rPr>
            </w:pPr>
          </w:p>
        </w:tc>
      </w:tr>
    </w:tbl>
    <w:p w14:paraId="665CB8A6">
      <w:pPr>
        <w:spacing w:line="360" w:lineRule="auto"/>
        <w:ind w:firstLine="435"/>
        <w:rPr>
          <w:rFonts w:hint="default"/>
          <w:color w:val="auto"/>
          <w:sz w:val="24"/>
          <w:szCs w:val="24"/>
          <w:highlight w:val="none"/>
          <w:lang w:val="en-US" w:eastAsia="zh-CN"/>
        </w:rPr>
      </w:pPr>
      <w:r>
        <w:rPr>
          <w:rFonts w:hint="eastAsia" w:ascii="宋体"/>
          <w:b/>
          <w:bCs/>
          <w:color w:val="auto"/>
          <w:sz w:val="24"/>
          <w:highlight w:val="none"/>
        </w:rPr>
        <w:t>初审指标通过标准：</w:t>
      </w:r>
      <w:r>
        <w:rPr>
          <w:rFonts w:hint="eastAsia" w:ascii="宋体"/>
          <w:color w:val="auto"/>
          <w:sz w:val="24"/>
          <w:highlight w:val="none"/>
        </w:rPr>
        <w:t>供应商必须通过初审表中的全部评审指标。</w:t>
      </w:r>
    </w:p>
    <w:p w14:paraId="2C2CB1CA">
      <w:pPr>
        <w:spacing w:line="360" w:lineRule="auto"/>
        <w:ind w:firstLine="435"/>
        <w:outlineLvl w:val="9"/>
        <w:rPr>
          <w:rFonts w:hint="eastAsia" w:ascii="宋体"/>
          <w:b/>
          <w:color w:val="auto"/>
          <w:sz w:val="24"/>
          <w:highlight w:val="none"/>
        </w:rPr>
      </w:pPr>
      <w:r>
        <w:rPr>
          <w:rFonts w:hint="eastAsia" w:ascii="宋体"/>
          <w:b/>
          <w:color w:val="auto"/>
          <w:sz w:val="24"/>
          <w:highlight w:val="none"/>
        </w:rPr>
        <w:t>2.</w:t>
      </w:r>
      <w:r>
        <w:rPr>
          <w:rFonts w:hint="eastAsia" w:ascii="宋体"/>
          <w:b/>
          <w:color w:val="auto"/>
          <w:sz w:val="24"/>
          <w:highlight w:val="none"/>
          <w:lang w:val="en-US" w:eastAsia="zh-CN"/>
        </w:rPr>
        <w:t>2</w:t>
      </w:r>
      <w:r>
        <w:rPr>
          <w:rFonts w:hint="eastAsia" w:ascii="宋体"/>
          <w:b/>
          <w:color w:val="auto"/>
          <w:sz w:val="24"/>
          <w:highlight w:val="none"/>
        </w:rPr>
        <w:t>综合评分</w:t>
      </w:r>
    </w:p>
    <w:p w14:paraId="438CBD66">
      <w:pPr>
        <w:spacing w:line="360" w:lineRule="auto"/>
        <w:ind w:firstLine="435"/>
        <w:rPr>
          <w:rFonts w:hint="eastAsia" w:ascii="宋体"/>
          <w:color w:val="auto"/>
          <w:sz w:val="24"/>
          <w:highlight w:val="none"/>
        </w:rPr>
      </w:pPr>
      <w:r>
        <w:rPr>
          <w:rFonts w:hint="eastAsia" w:ascii="宋体"/>
          <w:color w:val="auto"/>
          <w:sz w:val="24"/>
          <w:highlight w:val="none"/>
        </w:rPr>
        <w:t>2.</w:t>
      </w:r>
      <w:r>
        <w:rPr>
          <w:rFonts w:hint="eastAsia" w:ascii="宋体"/>
          <w:color w:val="auto"/>
          <w:sz w:val="24"/>
          <w:highlight w:val="none"/>
          <w:lang w:val="en-US" w:eastAsia="zh-CN"/>
        </w:rPr>
        <w:t>2</w:t>
      </w:r>
      <w:r>
        <w:rPr>
          <w:rFonts w:hint="eastAsia" w:ascii="宋体"/>
          <w:color w:val="auto"/>
          <w:sz w:val="24"/>
          <w:highlight w:val="none"/>
        </w:rPr>
        <w:t>.1询比小组按照下表对</w:t>
      </w:r>
      <w:r>
        <w:rPr>
          <w:rFonts w:hint="eastAsia"/>
          <w:color w:val="auto"/>
          <w:sz w:val="24"/>
          <w:highlight w:val="none"/>
        </w:rPr>
        <w:t>进入综合评分的所有供应商的</w:t>
      </w:r>
      <w:r>
        <w:rPr>
          <w:rFonts w:hint="eastAsia" w:ascii="宋体"/>
          <w:color w:val="auto"/>
          <w:sz w:val="24"/>
          <w:highlight w:val="none"/>
        </w:rPr>
        <w:t>响应文件进行综合评分。</w:t>
      </w:r>
    </w:p>
    <w:p w14:paraId="6EFE2BE2">
      <w:pPr>
        <w:spacing w:line="360" w:lineRule="auto"/>
        <w:ind w:firstLine="435"/>
        <w:rPr>
          <w:rFonts w:hint="eastAsia" w:ascii="宋体"/>
          <w:color w:val="auto"/>
          <w:sz w:val="24"/>
          <w:highlight w:val="none"/>
        </w:rPr>
      </w:pPr>
      <w:r>
        <w:rPr>
          <w:rFonts w:hint="eastAsia" w:ascii="宋体"/>
          <w:color w:val="auto"/>
          <w:sz w:val="24"/>
          <w:highlight w:val="none"/>
        </w:rPr>
        <w:t>2.</w:t>
      </w:r>
      <w:r>
        <w:rPr>
          <w:rFonts w:hint="eastAsia" w:ascii="宋体"/>
          <w:color w:val="auto"/>
          <w:sz w:val="24"/>
          <w:highlight w:val="none"/>
          <w:lang w:val="en-US" w:eastAsia="zh-CN"/>
        </w:rPr>
        <w:t>2</w:t>
      </w:r>
      <w:r>
        <w:rPr>
          <w:rFonts w:hint="eastAsia" w:ascii="宋体"/>
          <w:color w:val="auto"/>
          <w:sz w:val="24"/>
          <w:highlight w:val="none"/>
        </w:rPr>
        <w:t>.2本项目综合评分满分为100分，其中：技术资信分值占总分值的权重为</w:t>
      </w:r>
      <w:r>
        <w:rPr>
          <w:rFonts w:hint="eastAsia" w:ascii="宋体"/>
          <w:color w:val="auto"/>
          <w:sz w:val="24"/>
          <w:highlight w:val="none"/>
          <w:u w:val="single"/>
          <w:lang w:val="en-US" w:eastAsia="zh-CN"/>
        </w:rPr>
        <w:t>90</w:t>
      </w:r>
      <w:r>
        <w:rPr>
          <w:rFonts w:hint="eastAsia" w:ascii="宋体"/>
          <w:color w:val="auto"/>
          <w:sz w:val="24"/>
          <w:highlight w:val="none"/>
        </w:rPr>
        <w:t>%，价格分值占总分值的权重为</w:t>
      </w:r>
      <w:r>
        <w:rPr>
          <w:rFonts w:hint="eastAsia" w:ascii="宋体"/>
          <w:color w:val="auto"/>
          <w:sz w:val="24"/>
          <w:highlight w:val="none"/>
          <w:u w:val="single"/>
          <w:lang w:val="en-US" w:eastAsia="zh-CN"/>
        </w:rPr>
        <w:t>10</w:t>
      </w:r>
      <w:r>
        <w:rPr>
          <w:rFonts w:hint="eastAsia" w:ascii="宋体"/>
          <w:color w:val="auto"/>
          <w:sz w:val="24"/>
          <w:highlight w:val="none"/>
        </w:rPr>
        <w:t>%。具体评分细则如下</w:t>
      </w:r>
      <w:r>
        <w:rPr>
          <w:rFonts w:hint="eastAsia" w:ascii="宋体"/>
          <w:color w:val="auto"/>
          <w:sz w:val="24"/>
          <w:highlight w:val="none"/>
          <w:lang w:eastAsia="zh-CN"/>
        </w:rPr>
        <w:t>：</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4685"/>
        <w:gridCol w:w="1972"/>
      </w:tblGrid>
      <w:tr w14:paraId="43E8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24A022C9">
            <w:pPr>
              <w:keepNext w:val="0"/>
              <w:keepLines w:val="0"/>
              <w:pageBreakBefore w:val="0"/>
              <w:kinsoku/>
              <w:wordWrap/>
              <w:overflowPunct/>
              <w:topLinePunct w:val="0"/>
              <w:bidi w:val="0"/>
              <w:adjustRightInd w:val="0"/>
              <w:snapToGrid w:val="0"/>
              <w:spacing w:line="360" w:lineRule="auto"/>
              <w:ind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指标</w:t>
            </w:r>
          </w:p>
        </w:tc>
        <w:tc>
          <w:tcPr>
            <w:tcW w:w="2748" w:type="pct"/>
            <w:tcBorders>
              <w:top w:val="single" w:color="auto" w:sz="4" w:space="0"/>
              <w:left w:val="single" w:color="auto" w:sz="4" w:space="0"/>
              <w:bottom w:val="single" w:color="auto" w:sz="4" w:space="0"/>
              <w:right w:val="single" w:color="auto" w:sz="4" w:space="0"/>
            </w:tcBorders>
            <w:noWrap w:val="0"/>
            <w:vAlign w:val="center"/>
          </w:tcPr>
          <w:p w14:paraId="688817F5">
            <w:pPr>
              <w:keepNext w:val="0"/>
              <w:keepLines w:val="0"/>
              <w:pageBreakBefore w:val="0"/>
              <w:kinsoku/>
              <w:wordWrap/>
              <w:overflowPunct/>
              <w:topLinePunct w:val="0"/>
              <w:bidi w:val="0"/>
              <w:adjustRightInd w:val="0"/>
              <w:snapToGrid w:val="0"/>
              <w:spacing w:line="360" w:lineRule="auto"/>
              <w:ind w:firstLine="482" w:firstLineChars="20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指标描述</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3106777F">
            <w:pPr>
              <w:keepNext w:val="0"/>
              <w:keepLines w:val="0"/>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分值范围</w:t>
            </w:r>
          </w:p>
        </w:tc>
      </w:tr>
      <w:tr w14:paraId="3CA3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1F96C0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体系认证（</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en-US"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25857E26">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b w:val="0"/>
                <w:bCs w:val="0"/>
                <w:color w:val="auto"/>
                <w:sz w:val="24"/>
                <w:szCs w:val="24"/>
                <w:highlight w:val="none"/>
                <w:lang w:val="en-US" w:eastAsia="en-US"/>
              </w:rPr>
              <w:t>供应商具有经中国国家认证认可或监督管理委员会认可的认证机构颁发的有效的体系认证：</w:t>
            </w:r>
          </w:p>
          <w:p w14:paraId="1F2402C2">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b w:val="0"/>
                <w:bCs w:val="0"/>
                <w:color w:val="auto"/>
                <w:sz w:val="24"/>
                <w:szCs w:val="24"/>
                <w:highlight w:val="none"/>
                <w:lang w:val="en-US" w:eastAsia="en-US"/>
              </w:rPr>
              <w:t>（1）具有有效期内的质量管理体系认证证书；</w:t>
            </w:r>
          </w:p>
          <w:p w14:paraId="74F69ABA">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b w:val="0"/>
                <w:bCs w:val="0"/>
                <w:color w:val="auto"/>
                <w:sz w:val="24"/>
                <w:szCs w:val="24"/>
                <w:highlight w:val="none"/>
                <w:lang w:val="en-US" w:eastAsia="en-US"/>
              </w:rPr>
              <w:t>（2）具有有效期内的环境管理体系认证证书；</w:t>
            </w:r>
          </w:p>
          <w:p w14:paraId="2DDB5986">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b w:val="0"/>
                <w:bCs w:val="0"/>
                <w:color w:val="auto"/>
                <w:sz w:val="24"/>
                <w:szCs w:val="24"/>
                <w:highlight w:val="none"/>
                <w:lang w:val="en-US" w:eastAsia="en-US"/>
              </w:rPr>
              <w:t>（3）具有有效期内的职业健康安全管理体系认证证书；</w:t>
            </w:r>
          </w:p>
          <w:p w14:paraId="404EA4CA">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en-US"/>
              </w:rPr>
              <w:t>具有有效期内的信息安全管理体系认</w:t>
            </w:r>
          </w:p>
          <w:p w14:paraId="690CF0A2">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b w:val="0"/>
                <w:bCs w:val="0"/>
                <w:color w:val="auto"/>
                <w:sz w:val="24"/>
                <w:szCs w:val="24"/>
                <w:highlight w:val="none"/>
                <w:lang w:val="en-US" w:eastAsia="en-US"/>
              </w:rPr>
              <w:t>证证书;</w:t>
            </w:r>
          </w:p>
          <w:p w14:paraId="3D5379B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每提供一项得2</w:t>
            </w:r>
            <w:ins w:id="22" w:author="杨工" w:date="2026-08-10T11:42:39Z">
              <w:r>
                <w:rPr>
                  <w:rFonts w:hint="eastAsia" w:ascii="宋体" w:hAnsi="宋体" w:cs="宋体"/>
                  <w:color w:val="auto"/>
                  <w:sz w:val="24"/>
                  <w:szCs w:val="24"/>
                  <w:highlight w:val="none"/>
                  <w:lang w:val="en-US" w:eastAsia="zh-CN"/>
                </w:rPr>
                <w:t>.</w:t>
              </w:r>
            </w:ins>
            <w:ins w:id="23" w:author="杨工" w:date="2026-08-10T11:42:35Z">
              <w:r>
                <w:rPr>
                  <w:rFonts w:hint="eastAsia" w:ascii="宋体" w:hAnsi="宋体" w:cs="宋体"/>
                  <w:color w:val="auto"/>
                  <w:sz w:val="24"/>
                  <w:szCs w:val="24"/>
                  <w:highlight w:val="none"/>
                  <w:lang w:val="en-US" w:eastAsia="zh-CN"/>
                </w:rPr>
                <w:t>5</w:t>
              </w:r>
            </w:ins>
            <w:r>
              <w:rPr>
                <w:rFonts w:hint="eastAsia" w:ascii="宋体" w:hAnsi="宋体" w:eastAsia="宋体" w:cs="宋体"/>
                <w:color w:val="auto"/>
                <w:sz w:val="24"/>
                <w:szCs w:val="24"/>
                <w:highlight w:val="none"/>
                <w:lang w:val="en-US" w:eastAsia="zh-CN"/>
              </w:rPr>
              <w:t>分，满分</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p w14:paraId="1A5A34BF">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w:t>
            </w:r>
            <w:ins w:id="24" w:author="杨工" w:date="2026-08-10T12:01:16Z">
              <w:r>
                <w:rPr>
                  <w:rFonts w:hint="eastAsia" w:ascii="宋体" w:hAnsi="宋体" w:cs="宋体"/>
                  <w:b w:val="0"/>
                  <w:bCs w:val="0"/>
                  <w:color w:val="auto"/>
                  <w:sz w:val="24"/>
                  <w:szCs w:val="24"/>
                  <w:highlight w:val="none"/>
                  <w:lang w:val="en-US" w:eastAsia="zh-CN"/>
                </w:rPr>
                <w:t>响应</w:t>
              </w:r>
            </w:ins>
            <w:r>
              <w:rPr>
                <w:rFonts w:hint="eastAsia" w:ascii="宋体" w:hAnsi="宋体" w:eastAsia="宋体" w:cs="宋体"/>
                <w:b w:val="0"/>
                <w:bCs w:val="0"/>
                <w:color w:val="auto"/>
                <w:sz w:val="24"/>
                <w:szCs w:val="24"/>
                <w:highlight w:val="none"/>
                <w:lang w:val="en-US" w:eastAsia="zh-CN"/>
              </w:rPr>
              <w:t>文件中提供以上证书彩色扫描件或彩色复印件，同时另附证书在全国认证认可信息公共服务平台查询截图，并加盖供应商公章，否则不得分。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0AA3FB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en-US" w:eastAsia="zh-CN"/>
              </w:rPr>
              <w:t>分</w:t>
            </w:r>
          </w:p>
        </w:tc>
      </w:tr>
      <w:tr w14:paraId="6D73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16D8830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供应商业绩（</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53F50E1E">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资格业绩不得分，供应商自2023年1月1日以来（以合同签订时间为准），</w:t>
            </w:r>
            <w:r>
              <w:rPr>
                <w:rFonts w:hint="eastAsia"/>
                <w:color w:val="auto"/>
                <w:highlight w:val="none"/>
                <w:lang w:val="en-US" w:eastAsia="zh-CN"/>
              </w:rPr>
              <w:t>具有</w:t>
            </w:r>
            <w:r>
              <w:rPr>
                <w:rFonts w:hint="eastAsia" w:ascii="宋体" w:hAnsi="宋体" w:eastAsia="宋体" w:cs="宋体"/>
                <w:b w:val="0"/>
                <w:bCs w:val="0"/>
                <w:color w:val="auto"/>
                <w:sz w:val="24"/>
                <w:szCs w:val="24"/>
                <w:highlight w:val="none"/>
                <w:lang w:val="en-US" w:eastAsia="zh-CN"/>
              </w:rPr>
              <w:t>劳务外包服务业绩，每个得5分，最高得15分。</w:t>
            </w:r>
          </w:p>
          <w:p w14:paraId="7D5D7540">
            <w:pPr>
              <w:keepNext w:val="0"/>
              <w:keepLines w:val="0"/>
              <w:pageBreakBefore w:val="0"/>
              <w:widowControl/>
              <w:suppressLineNumbers w:val="0"/>
              <w:kinsoku/>
              <w:wordWrap/>
              <w:overflowPunct/>
              <w:topLinePunct w:val="0"/>
              <w:bidi w:val="0"/>
              <w:spacing w:line="360" w:lineRule="auto"/>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注：供应商应提供业绩合同原件彩色扫描件</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业绩时间以合同签订时间为准，合同中未体现的，须提供业主（或业主相关业务部门）出具的证明材料。</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3BAE19D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0-15分</w:t>
            </w:r>
          </w:p>
        </w:tc>
      </w:tr>
      <w:tr w14:paraId="3BE8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1"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442C1D8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供应商荣誉</w:t>
            </w:r>
            <w:r>
              <w:rPr>
                <w:rFonts w:hint="eastAsia" w:ascii="宋体" w:hAnsi="宋体" w:eastAsia="宋体" w:cs="宋体"/>
                <w:color w:val="auto"/>
                <w:kern w:val="0"/>
                <w:sz w:val="24"/>
                <w:szCs w:val="24"/>
                <w:highlight w:val="none"/>
              </w:rPr>
              <w:t>（9分）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2DB6E2B7">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宋体" w:hAnsi="宋体" w:eastAsia="宋体" w:cs="宋体"/>
                <w:b w:val="0"/>
                <w:color w:val="auto"/>
                <w:kern w:val="0"/>
                <w:sz w:val="24"/>
                <w:szCs w:val="24"/>
                <w:highlight w:val="none"/>
                <w:lang w:val="en-US" w:eastAsia="en-US" w:bidi="ar-SA"/>
              </w:rPr>
            </w:pPr>
            <w:r>
              <w:rPr>
                <w:rFonts w:hint="eastAsia" w:ascii="宋体" w:hAnsi="宋体" w:eastAsia="宋体" w:cs="宋体"/>
                <w:b w:val="0"/>
                <w:color w:val="auto"/>
                <w:kern w:val="0"/>
                <w:sz w:val="24"/>
                <w:szCs w:val="24"/>
                <w:highlight w:val="none"/>
                <w:lang w:val="en-US" w:eastAsia="en-US" w:bidi="ar-SA"/>
              </w:rPr>
              <w:t>1.自202</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年1月1日以来，供应商获得过行政主管单位或政府部门（不含内设机构）颁发的劳动保障类荣誉奖项的，区县级的得1分，地市级</w:t>
            </w:r>
            <w:r>
              <w:rPr>
                <w:rFonts w:hint="eastAsia" w:ascii="宋体" w:hAnsi="宋体" w:eastAsia="宋体" w:cs="宋体"/>
                <w:b w:val="0"/>
                <w:color w:val="auto"/>
                <w:kern w:val="0"/>
                <w:sz w:val="24"/>
                <w:szCs w:val="24"/>
                <w:highlight w:val="none"/>
                <w:lang w:val="en-US" w:eastAsia="zh-CN" w:bidi="ar-SA"/>
              </w:rPr>
              <w:t>及以上</w:t>
            </w:r>
            <w:r>
              <w:rPr>
                <w:rFonts w:hint="eastAsia" w:ascii="宋体" w:hAnsi="宋体" w:eastAsia="宋体" w:cs="宋体"/>
                <w:b w:val="0"/>
                <w:color w:val="auto"/>
                <w:kern w:val="0"/>
                <w:sz w:val="24"/>
                <w:szCs w:val="24"/>
                <w:highlight w:val="none"/>
                <w:lang w:val="en-US" w:eastAsia="en-US" w:bidi="ar-SA"/>
              </w:rPr>
              <w:t>的得2分，本项以最高荣誉计分一次，不重复计分。</w:t>
            </w:r>
          </w:p>
          <w:p w14:paraId="53CC6365">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宋体" w:hAnsi="宋体" w:eastAsia="宋体" w:cs="宋体"/>
                <w:b w:val="0"/>
                <w:color w:val="auto"/>
                <w:kern w:val="0"/>
                <w:sz w:val="24"/>
                <w:szCs w:val="24"/>
                <w:highlight w:val="none"/>
                <w:lang w:val="en-US" w:eastAsia="en-US" w:bidi="ar-SA"/>
              </w:rPr>
            </w:pPr>
            <w:r>
              <w:rPr>
                <w:rFonts w:hint="eastAsia" w:ascii="宋体" w:hAnsi="宋体" w:eastAsia="宋体" w:cs="宋体"/>
                <w:b w:val="0"/>
                <w:color w:val="auto"/>
                <w:kern w:val="0"/>
                <w:sz w:val="24"/>
                <w:szCs w:val="24"/>
                <w:highlight w:val="none"/>
                <w:lang w:val="en-US" w:eastAsia="en-US" w:bidi="ar-SA"/>
              </w:rPr>
              <w:t>2.自202</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年1月1日以来，供应商获得政府部门（不含内设机构）颁发的“文明单位”荣誉的，区县级的1分，地市级</w:t>
            </w:r>
            <w:r>
              <w:rPr>
                <w:rFonts w:hint="eastAsia"/>
                <w:color w:val="auto"/>
                <w:highlight w:val="none"/>
                <w:lang w:val="en-US" w:eastAsia="zh-CN"/>
              </w:rPr>
              <w:t>及以上</w:t>
            </w:r>
            <w:r>
              <w:rPr>
                <w:rFonts w:hint="eastAsia" w:ascii="宋体" w:hAnsi="宋体" w:eastAsia="宋体" w:cs="宋体"/>
                <w:b w:val="0"/>
                <w:color w:val="auto"/>
                <w:kern w:val="0"/>
                <w:sz w:val="24"/>
                <w:szCs w:val="24"/>
                <w:highlight w:val="none"/>
                <w:lang w:val="en-US" w:eastAsia="en-US" w:bidi="ar-SA"/>
              </w:rPr>
              <w:t>的得2分，本项以最高荣誉计分一次，不重复计分。</w:t>
            </w:r>
          </w:p>
          <w:p w14:paraId="2B506AD2">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val="0"/>
                <w:color w:val="auto"/>
                <w:kern w:val="0"/>
                <w:sz w:val="24"/>
                <w:szCs w:val="24"/>
                <w:highlight w:val="none"/>
                <w:lang w:val="en-US" w:eastAsia="en-US" w:bidi="ar-SA"/>
              </w:rPr>
              <w:t>3.自202</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年1月1日以来，供应商被省级人力资源和社会保障厅评定为人力资源服务机构等级5A的得</w:t>
            </w:r>
            <w:r>
              <w:rPr>
                <w:rFonts w:hint="eastAsia" w:ascii="宋体" w:hAnsi="宋体" w:eastAsia="宋体" w:cs="宋体"/>
                <w:b w:val="0"/>
                <w:color w:val="auto"/>
                <w:kern w:val="0"/>
                <w:sz w:val="24"/>
                <w:szCs w:val="24"/>
                <w:highlight w:val="none"/>
                <w:lang w:val="en-US" w:eastAsia="zh-CN" w:bidi="ar-SA"/>
              </w:rPr>
              <w:t>5</w:t>
            </w:r>
            <w:r>
              <w:rPr>
                <w:rFonts w:hint="eastAsia" w:ascii="宋体" w:hAnsi="宋体" w:eastAsia="宋体" w:cs="宋体"/>
                <w:b w:val="0"/>
                <w:color w:val="auto"/>
                <w:kern w:val="0"/>
                <w:sz w:val="24"/>
                <w:szCs w:val="24"/>
                <w:highlight w:val="none"/>
                <w:lang w:val="en-US" w:eastAsia="en-US" w:bidi="ar-SA"/>
              </w:rPr>
              <w:t>分，4A得</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分，3A得1分，其他不得分。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1EF7FBC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0-9分</w:t>
            </w:r>
          </w:p>
        </w:tc>
      </w:tr>
      <w:tr w14:paraId="1C43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50BD12E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服务团队</w:t>
            </w:r>
          </w:p>
          <w:p w14:paraId="5F18FA8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r>
              <w:rPr>
                <w:rFonts w:hint="default" w:ascii="宋体" w:hAnsi="宋体" w:eastAsia="宋体" w:cs="宋体"/>
                <w:b w:val="0"/>
                <w:bCs w:val="0"/>
                <w:color w:val="auto"/>
                <w:sz w:val="24"/>
                <w:szCs w:val="24"/>
                <w:highlight w:val="none"/>
                <w:lang w:val="en-US" w:eastAsia="zh-CN"/>
              </w:rPr>
              <w:t>1</w:t>
            </w:r>
            <w:ins w:id="25" w:author="杨工" w:date="2026-08-10T13:00:24Z">
              <w:r>
                <w:rPr>
                  <w:rFonts w:hint="eastAsia" w:ascii="宋体" w:hAnsi="宋体" w:cs="宋体"/>
                  <w:b w:val="0"/>
                  <w:bCs w:val="0"/>
                  <w:color w:val="auto"/>
                  <w:sz w:val="24"/>
                  <w:szCs w:val="24"/>
                  <w:highlight w:val="none"/>
                  <w:lang w:val="en-US" w:eastAsia="zh-CN"/>
                </w:rPr>
                <w:t>4</w:t>
              </w:r>
            </w:ins>
            <w:r>
              <w:rPr>
                <w:rFonts w:hint="eastAsia" w:ascii="宋体" w:hAnsi="宋体" w:eastAsia="宋体" w:cs="宋体"/>
                <w:b w:val="0"/>
                <w:bCs w:val="0"/>
                <w:color w:val="auto"/>
                <w:sz w:val="24"/>
                <w:szCs w:val="24"/>
                <w:highlight w:val="none"/>
                <w:lang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532D880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宋体" w:hAnsi="宋体" w:eastAsia="宋体" w:cs="宋体"/>
                <w:b w:val="0"/>
                <w:color w:val="auto"/>
                <w:kern w:val="0"/>
                <w:sz w:val="24"/>
                <w:szCs w:val="24"/>
                <w:highlight w:val="none"/>
                <w:lang w:val="en-US" w:eastAsia="en-US" w:bidi="ar-SA"/>
              </w:rPr>
            </w:pPr>
            <w:r>
              <w:rPr>
                <w:rFonts w:hint="eastAsia" w:ascii="宋体" w:hAnsi="宋体" w:eastAsia="宋体" w:cs="宋体"/>
                <w:b w:val="0"/>
                <w:color w:val="auto"/>
                <w:kern w:val="0"/>
                <w:sz w:val="24"/>
                <w:szCs w:val="24"/>
                <w:highlight w:val="none"/>
                <w:lang w:val="en-US" w:eastAsia="en-US" w:bidi="ar-SA"/>
              </w:rPr>
              <w:t>1.项目负责人1人：要求：（</w:t>
            </w:r>
            <w:r>
              <w:rPr>
                <w:rFonts w:hint="eastAsia" w:ascii="宋体" w:hAnsi="宋体" w:eastAsia="宋体" w:cs="宋体"/>
                <w:b w:val="0"/>
                <w:color w:val="auto"/>
                <w:kern w:val="0"/>
                <w:sz w:val="24"/>
                <w:szCs w:val="24"/>
                <w:highlight w:val="none"/>
                <w:lang w:val="en-US" w:eastAsia="zh-CN" w:bidi="ar-SA"/>
              </w:rPr>
              <w:t>1</w:t>
            </w:r>
            <w:r>
              <w:rPr>
                <w:rFonts w:hint="eastAsia" w:ascii="宋体" w:hAnsi="宋体" w:eastAsia="宋体" w:cs="宋体"/>
                <w:b w:val="0"/>
                <w:color w:val="auto"/>
                <w:kern w:val="0"/>
                <w:sz w:val="24"/>
                <w:szCs w:val="24"/>
                <w:highlight w:val="none"/>
                <w:lang w:val="en-US" w:eastAsia="en-US" w:bidi="ar-SA"/>
              </w:rPr>
              <w:t>）具有企业人力资源管理师</w:t>
            </w:r>
            <w:r>
              <w:rPr>
                <w:rFonts w:hint="eastAsia" w:ascii="宋体" w:hAnsi="宋体" w:eastAsia="宋体" w:cs="宋体"/>
                <w:b w:val="0"/>
                <w:color w:val="auto"/>
                <w:kern w:val="0"/>
                <w:sz w:val="24"/>
                <w:szCs w:val="24"/>
                <w:highlight w:val="none"/>
                <w:lang w:val="en-US" w:eastAsia="zh-CN" w:bidi="ar-SA"/>
              </w:rPr>
              <w:t>一</w:t>
            </w:r>
            <w:r>
              <w:rPr>
                <w:rFonts w:hint="eastAsia" w:ascii="宋体" w:hAnsi="宋体" w:eastAsia="宋体" w:cs="宋体"/>
                <w:b w:val="0"/>
                <w:color w:val="auto"/>
                <w:kern w:val="0"/>
                <w:sz w:val="24"/>
                <w:szCs w:val="24"/>
                <w:highlight w:val="none"/>
                <w:lang w:val="en-US" w:eastAsia="en-US" w:bidi="ar-SA"/>
              </w:rPr>
              <w:t>级</w:t>
            </w:r>
            <w:r>
              <w:rPr>
                <w:rFonts w:hint="eastAsia" w:ascii="宋体" w:hAnsi="宋体" w:eastAsia="宋体" w:cs="宋体"/>
                <w:b w:val="0"/>
                <w:color w:val="auto"/>
                <w:kern w:val="0"/>
                <w:sz w:val="24"/>
                <w:szCs w:val="24"/>
                <w:highlight w:val="none"/>
                <w:lang w:val="en-US" w:eastAsia="zh-CN" w:bidi="ar-SA"/>
              </w:rPr>
              <w:t>证书</w:t>
            </w:r>
            <w:r>
              <w:rPr>
                <w:rFonts w:hint="eastAsia" w:ascii="宋体" w:hAnsi="宋体" w:eastAsia="宋体" w:cs="宋体"/>
                <w:b w:val="0"/>
                <w:color w:val="auto"/>
                <w:kern w:val="0"/>
                <w:sz w:val="24"/>
                <w:szCs w:val="24"/>
                <w:highlight w:val="none"/>
                <w:lang w:val="en-US" w:eastAsia="en-US" w:bidi="ar-SA"/>
              </w:rPr>
              <w:t>的得</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分；（</w:t>
            </w:r>
            <w:r>
              <w:rPr>
                <w:rFonts w:hint="eastAsia" w:ascii="宋体" w:hAnsi="宋体" w:eastAsia="宋体" w:cs="宋体"/>
                <w:b w:val="0"/>
                <w:color w:val="auto"/>
                <w:kern w:val="0"/>
                <w:sz w:val="24"/>
                <w:szCs w:val="24"/>
                <w:highlight w:val="none"/>
                <w:lang w:val="en-US" w:eastAsia="zh-CN" w:bidi="ar-SA"/>
              </w:rPr>
              <w:t>2</w:t>
            </w:r>
            <w:r>
              <w:rPr>
                <w:rFonts w:hint="eastAsia" w:ascii="宋体" w:hAnsi="宋体" w:eastAsia="宋体" w:cs="宋体"/>
                <w:b w:val="0"/>
                <w:color w:val="auto"/>
                <w:kern w:val="0"/>
                <w:sz w:val="24"/>
                <w:szCs w:val="24"/>
                <w:highlight w:val="none"/>
                <w:lang w:val="en-US" w:eastAsia="en-US" w:bidi="ar-SA"/>
              </w:rPr>
              <w:t>）具</w:t>
            </w:r>
            <w:r>
              <w:rPr>
                <w:rFonts w:hint="eastAsia" w:ascii="宋体" w:hAnsi="宋体" w:eastAsia="宋体" w:cs="宋体"/>
                <w:b w:val="0"/>
                <w:color w:val="auto"/>
                <w:kern w:val="0"/>
                <w:sz w:val="24"/>
                <w:szCs w:val="24"/>
                <w:highlight w:val="none"/>
                <w:lang w:val="en-US" w:eastAsia="zh-CN" w:bidi="ar-SA"/>
              </w:rPr>
              <w:t>有</w:t>
            </w:r>
            <w:r>
              <w:rPr>
                <w:rFonts w:hint="eastAsia" w:ascii="宋体" w:hAnsi="宋体" w:eastAsia="宋体" w:cs="宋体"/>
                <w:b w:val="0"/>
                <w:color w:val="auto"/>
                <w:kern w:val="0"/>
                <w:sz w:val="24"/>
                <w:szCs w:val="24"/>
                <w:highlight w:val="none"/>
                <w:lang w:val="en-US" w:eastAsia="en-US" w:bidi="ar-SA"/>
              </w:rPr>
              <w:t>劳动关系协调员一级证书的得</w:t>
            </w:r>
            <w:r>
              <w:rPr>
                <w:rFonts w:hint="eastAsia" w:ascii="宋体" w:hAnsi="宋体" w:eastAsia="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en-US" w:bidi="ar-SA"/>
              </w:rPr>
              <w:t>分。（此项最高得</w:t>
            </w:r>
            <w:r>
              <w:rPr>
                <w:rFonts w:hint="eastAsia" w:ascii="宋体" w:hAnsi="宋体" w:eastAsia="宋体" w:cs="宋体"/>
                <w:b w:val="0"/>
                <w:color w:val="auto"/>
                <w:kern w:val="0"/>
                <w:sz w:val="24"/>
                <w:szCs w:val="24"/>
                <w:highlight w:val="none"/>
                <w:lang w:val="en-US" w:eastAsia="zh-CN" w:bidi="ar-SA"/>
              </w:rPr>
              <w:t>6</w:t>
            </w:r>
            <w:r>
              <w:rPr>
                <w:rFonts w:hint="eastAsia" w:ascii="宋体" w:hAnsi="宋体" w:eastAsia="宋体" w:cs="宋体"/>
                <w:b w:val="0"/>
                <w:color w:val="auto"/>
                <w:kern w:val="0"/>
                <w:sz w:val="24"/>
                <w:szCs w:val="24"/>
                <w:highlight w:val="none"/>
                <w:lang w:val="en-US" w:eastAsia="en-US" w:bidi="ar-SA"/>
              </w:rPr>
              <w:t>分）；</w:t>
            </w:r>
          </w:p>
          <w:p w14:paraId="6AC0DAA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宋体" w:hAnsi="宋体" w:eastAsia="宋体" w:cs="宋体"/>
                <w:b w:val="0"/>
                <w:color w:val="auto"/>
                <w:kern w:val="0"/>
                <w:sz w:val="24"/>
                <w:szCs w:val="24"/>
                <w:highlight w:val="none"/>
                <w:lang w:val="en-US" w:eastAsia="en-US" w:bidi="ar-SA"/>
              </w:rPr>
            </w:pPr>
            <w:r>
              <w:rPr>
                <w:rFonts w:hint="eastAsia" w:ascii="宋体" w:hAnsi="宋体" w:eastAsia="宋体" w:cs="宋体"/>
                <w:b w:val="0"/>
                <w:color w:val="auto"/>
                <w:kern w:val="0"/>
                <w:sz w:val="24"/>
                <w:szCs w:val="24"/>
                <w:highlight w:val="none"/>
                <w:lang w:val="en-US" w:eastAsia="en-US" w:bidi="ar-SA"/>
              </w:rPr>
              <w:t>2.项目</w:t>
            </w:r>
            <w:r>
              <w:rPr>
                <w:rFonts w:hint="eastAsia" w:ascii="宋体" w:hAnsi="宋体" w:eastAsia="宋体" w:cs="宋体"/>
                <w:b w:val="0"/>
                <w:color w:val="auto"/>
                <w:kern w:val="0"/>
                <w:sz w:val="24"/>
                <w:szCs w:val="24"/>
                <w:highlight w:val="none"/>
                <w:lang w:val="en-US" w:eastAsia="zh-CN" w:bidi="ar-SA"/>
              </w:rPr>
              <w:t>其他成员</w:t>
            </w:r>
            <w:r>
              <w:rPr>
                <w:rFonts w:hint="eastAsia" w:ascii="宋体" w:hAnsi="宋体" w:eastAsia="宋体" w:cs="宋体"/>
                <w:b w:val="0"/>
                <w:color w:val="auto"/>
                <w:kern w:val="0"/>
                <w:sz w:val="24"/>
                <w:szCs w:val="24"/>
                <w:highlight w:val="none"/>
                <w:lang w:val="en-US" w:eastAsia="en-US" w:bidi="ar-SA"/>
              </w:rPr>
              <w:t>，要求：</w:t>
            </w:r>
            <w:r>
              <w:rPr>
                <w:rFonts w:hint="eastAsia" w:ascii="宋体" w:hAnsi="宋体" w:eastAsia="宋体" w:cs="宋体"/>
                <w:b w:val="0"/>
                <w:color w:val="auto"/>
                <w:kern w:val="0"/>
                <w:sz w:val="24"/>
                <w:szCs w:val="24"/>
                <w:highlight w:val="none"/>
                <w:lang w:val="en-US" w:eastAsia="zh-CN" w:bidi="ar-SA"/>
              </w:rPr>
              <w:t>每提供一个</w:t>
            </w:r>
            <w:r>
              <w:rPr>
                <w:rFonts w:hint="eastAsia" w:ascii="宋体" w:hAnsi="宋体" w:eastAsia="宋体" w:cs="宋体"/>
                <w:b w:val="0"/>
                <w:color w:val="auto"/>
                <w:kern w:val="0"/>
                <w:sz w:val="24"/>
                <w:szCs w:val="24"/>
                <w:highlight w:val="none"/>
                <w:lang w:val="en-US" w:eastAsia="en-US" w:bidi="ar-SA"/>
              </w:rPr>
              <w:t>具有企业人力资源管理师</w:t>
            </w:r>
            <w:r>
              <w:rPr>
                <w:rFonts w:hint="eastAsia" w:ascii="宋体" w:hAnsi="宋体" w:eastAsia="宋体" w:cs="宋体"/>
                <w:b w:val="0"/>
                <w:color w:val="auto"/>
                <w:kern w:val="0"/>
                <w:sz w:val="24"/>
                <w:szCs w:val="24"/>
                <w:highlight w:val="none"/>
                <w:lang w:val="en-US" w:eastAsia="zh-CN" w:bidi="ar-SA"/>
              </w:rPr>
              <w:t>二</w:t>
            </w:r>
            <w:r>
              <w:rPr>
                <w:rFonts w:hint="eastAsia" w:ascii="宋体" w:hAnsi="宋体" w:eastAsia="宋体" w:cs="宋体"/>
                <w:b w:val="0"/>
                <w:color w:val="auto"/>
                <w:kern w:val="0"/>
                <w:sz w:val="24"/>
                <w:szCs w:val="24"/>
                <w:highlight w:val="none"/>
                <w:lang w:val="en-US" w:eastAsia="en-US" w:bidi="ar-SA"/>
              </w:rPr>
              <w:t>级</w:t>
            </w:r>
            <w:r>
              <w:rPr>
                <w:rFonts w:hint="eastAsia" w:ascii="宋体" w:hAnsi="宋体" w:cs="宋体"/>
                <w:b w:val="0"/>
                <w:color w:val="auto"/>
                <w:kern w:val="0"/>
                <w:sz w:val="24"/>
                <w:szCs w:val="24"/>
                <w:highlight w:val="none"/>
                <w:lang w:val="en-US" w:eastAsia="zh-CN" w:bidi="ar-SA"/>
              </w:rPr>
              <w:t>及以上</w:t>
            </w:r>
            <w:r>
              <w:rPr>
                <w:rFonts w:hint="eastAsia" w:ascii="宋体" w:hAnsi="宋体" w:eastAsia="宋体" w:cs="宋体"/>
                <w:b w:val="0"/>
                <w:color w:val="auto"/>
                <w:kern w:val="0"/>
                <w:sz w:val="24"/>
                <w:szCs w:val="24"/>
                <w:highlight w:val="none"/>
                <w:lang w:val="en-US" w:eastAsia="zh-CN" w:bidi="ar-SA"/>
              </w:rPr>
              <w:t>证书</w:t>
            </w:r>
            <w:r>
              <w:rPr>
                <w:rFonts w:hint="eastAsia" w:ascii="宋体" w:hAnsi="宋体" w:eastAsia="宋体" w:cs="宋体"/>
                <w:b w:val="0"/>
                <w:color w:val="auto"/>
                <w:kern w:val="0"/>
                <w:sz w:val="24"/>
                <w:szCs w:val="24"/>
                <w:highlight w:val="none"/>
                <w:lang w:val="en-US" w:eastAsia="en-US" w:bidi="ar-SA"/>
              </w:rPr>
              <w:t>的得</w:t>
            </w:r>
            <w:r>
              <w:rPr>
                <w:rFonts w:hint="eastAsia" w:ascii="宋体" w:hAnsi="宋体" w:eastAsia="宋体" w:cs="宋体"/>
                <w:b w:val="0"/>
                <w:color w:val="auto"/>
                <w:kern w:val="0"/>
                <w:sz w:val="24"/>
                <w:szCs w:val="24"/>
                <w:highlight w:val="none"/>
                <w:lang w:val="en-US" w:eastAsia="zh-CN" w:bidi="ar-SA"/>
              </w:rPr>
              <w:t>2</w:t>
            </w:r>
            <w:r>
              <w:rPr>
                <w:rFonts w:hint="eastAsia" w:ascii="宋体" w:hAnsi="宋体" w:eastAsia="宋体" w:cs="宋体"/>
                <w:b w:val="0"/>
                <w:color w:val="auto"/>
                <w:kern w:val="0"/>
                <w:sz w:val="24"/>
                <w:szCs w:val="24"/>
                <w:highlight w:val="none"/>
                <w:lang w:val="en-US" w:eastAsia="en-US" w:bidi="ar-SA"/>
              </w:rPr>
              <w:t>分</w:t>
            </w:r>
            <w:r>
              <w:rPr>
                <w:rFonts w:hint="eastAsia" w:ascii="宋体" w:hAnsi="宋体" w:eastAsia="宋体" w:cs="宋体"/>
                <w:b w:val="0"/>
                <w:color w:val="auto"/>
                <w:kern w:val="0"/>
                <w:sz w:val="24"/>
                <w:szCs w:val="24"/>
                <w:highlight w:val="none"/>
                <w:lang w:val="en-US" w:eastAsia="zh-CN" w:bidi="ar-SA"/>
              </w:rPr>
              <w:t>，最多得</w:t>
            </w:r>
            <w:ins w:id="26" w:author="杨工" w:date="2026-08-10T12:01:42Z">
              <w:r>
                <w:rPr>
                  <w:rFonts w:hint="eastAsia" w:ascii="宋体" w:hAnsi="宋体" w:cs="宋体"/>
                  <w:b w:val="0"/>
                  <w:color w:val="auto"/>
                  <w:kern w:val="0"/>
                  <w:sz w:val="24"/>
                  <w:szCs w:val="24"/>
                  <w:highlight w:val="none"/>
                  <w:lang w:val="en-US" w:eastAsia="zh-CN" w:bidi="ar-SA"/>
                </w:rPr>
                <w:t>8</w:t>
              </w:r>
            </w:ins>
            <w:r>
              <w:rPr>
                <w:rFonts w:hint="eastAsia" w:ascii="宋体" w:hAnsi="宋体" w:eastAsia="宋体" w:cs="宋体"/>
                <w:b w:val="0"/>
                <w:color w:val="auto"/>
                <w:kern w:val="0"/>
                <w:sz w:val="24"/>
                <w:szCs w:val="24"/>
                <w:highlight w:val="none"/>
                <w:lang w:val="en-US" w:eastAsia="zh-CN" w:bidi="ar-SA"/>
              </w:rPr>
              <w:t>分</w:t>
            </w:r>
            <w:r>
              <w:rPr>
                <w:rFonts w:hint="eastAsia" w:ascii="宋体" w:hAnsi="宋体" w:eastAsia="宋体" w:cs="宋体"/>
                <w:b w:val="0"/>
                <w:color w:val="auto"/>
                <w:kern w:val="0"/>
                <w:sz w:val="24"/>
                <w:szCs w:val="24"/>
                <w:highlight w:val="none"/>
                <w:lang w:val="en-US" w:eastAsia="en-US" w:bidi="ar-SA"/>
              </w:rPr>
              <w:t>；</w:t>
            </w:r>
          </w:p>
          <w:p w14:paraId="63517324">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kern w:val="0"/>
                <w:sz w:val="24"/>
                <w:szCs w:val="24"/>
                <w:highlight w:val="none"/>
                <w:lang w:val="en-US" w:eastAsia="en-US" w:bidi="ar-SA"/>
              </w:rPr>
              <w:t>注：</w:t>
            </w:r>
            <w:r>
              <w:rPr>
                <w:rFonts w:hint="eastAsia" w:ascii="宋体" w:hAnsi="宋体" w:cs="宋体"/>
                <w:b w:val="0"/>
                <w:color w:val="auto"/>
                <w:kern w:val="0"/>
                <w:sz w:val="24"/>
                <w:szCs w:val="24"/>
                <w:highlight w:val="none"/>
                <w:lang w:val="en-US" w:eastAsia="zh-CN" w:bidi="ar-SA"/>
              </w:rPr>
              <w:t>上述证书</w:t>
            </w:r>
            <w:r>
              <w:rPr>
                <w:rFonts w:hint="eastAsia" w:ascii="宋体" w:hAnsi="宋体" w:eastAsia="宋体" w:cs="宋体"/>
                <w:b w:val="0"/>
                <w:color w:val="auto"/>
                <w:kern w:val="0"/>
                <w:sz w:val="24"/>
                <w:szCs w:val="24"/>
                <w:highlight w:val="none"/>
                <w:lang w:val="en-US" w:eastAsia="en-US" w:bidi="ar-SA"/>
              </w:rPr>
              <w:t>可在技能人才评价工作网在线查询，供应商应提供网站查询截图供评审小组审核。不单独颁发证书的以通过考试的成绩合格证明及公示名单为准。需提供人员自202</w:t>
            </w:r>
            <w:r>
              <w:rPr>
                <w:rFonts w:hint="eastAsia" w:ascii="宋体" w:hAnsi="宋体" w:cs="宋体"/>
                <w:b w:val="0"/>
                <w:color w:val="auto"/>
                <w:kern w:val="0"/>
                <w:sz w:val="24"/>
                <w:szCs w:val="24"/>
                <w:highlight w:val="none"/>
                <w:lang w:val="en-US" w:eastAsia="zh-CN" w:bidi="ar-SA"/>
              </w:rPr>
              <w:t>6</w:t>
            </w:r>
            <w:r>
              <w:rPr>
                <w:rFonts w:hint="eastAsia" w:ascii="宋体" w:hAnsi="宋体" w:eastAsia="宋体" w:cs="宋体"/>
                <w:b w:val="0"/>
                <w:color w:val="auto"/>
                <w:kern w:val="0"/>
                <w:sz w:val="24"/>
                <w:szCs w:val="24"/>
                <w:highlight w:val="none"/>
                <w:lang w:val="en-US" w:eastAsia="en-US" w:bidi="ar-SA"/>
              </w:rPr>
              <w:t>年</w:t>
            </w:r>
            <w:r>
              <w:rPr>
                <w:rFonts w:hint="eastAsia" w:ascii="宋体" w:hAnsi="宋体" w:cs="宋体"/>
                <w:b w:val="0"/>
                <w:color w:val="auto"/>
                <w:kern w:val="0"/>
                <w:sz w:val="24"/>
                <w:szCs w:val="24"/>
                <w:highlight w:val="none"/>
                <w:lang w:val="en-US" w:eastAsia="zh-CN" w:bidi="ar-SA"/>
              </w:rPr>
              <w:t>1</w:t>
            </w:r>
            <w:r>
              <w:rPr>
                <w:rFonts w:hint="eastAsia" w:ascii="宋体" w:hAnsi="宋体" w:eastAsia="宋体" w:cs="宋体"/>
                <w:b w:val="0"/>
                <w:color w:val="auto"/>
                <w:kern w:val="0"/>
                <w:sz w:val="24"/>
                <w:szCs w:val="24"/>
                <w:highlight w:val="none"/>
                <w:lang w:val="en-US" w:eastAsia="en-US" w:bidi="ar-SA"/>
              </w:rPr>
              <w:t>月起的社保缴纳证明、相关证书等证明材料扫描件或影印件证明材料，未提供材料的不得分。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0D9AFCD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w:t>
            </w:r>
            <w:r>
              <w:rPr>
                <w:rFonts w:hint="default" w:ascii="宋体" w:hAnsi="宋体" w:eastAsia="宋体" w:cs="宋体"/>
                <w:b w:val="0"/>
                <w:bCs w:val="0"/>
                <w:color w:val="auto"/>
                <w:sz w:val="24"/>
                <w:szCs w:val="24"/>
                <w:highlight w:val="none"/>
                <w:lang w:val="en-US" w:eastAsia="zh-CN"/>
              </w:rPr>
              <w:t>1</w:t>
            </w:r>
            <w:ins w:id="27" w:author="杨工" w:date="2026-08-10T12:01:48Z">
              <w:r>
                <w:rPr>
                  <w:rFonts w:hint="eastAsia" w:ascii="宋体" w:hAnsi="宋体" w:cs="宋体"/>
                  <w:b w:val="0"/>
                  <w:bCs w:val="0"/>
                  <w:color w:val="auto"/>
                  <w:sz w:val="24"/>
                  <w:szCs w:val="24"/>
                  <w:highlight w:val="none"/>
                  <w:lang w:val="en-US" w:eastAsia="zh-CN"/>
                </w:rPr>
                <w:t>4</w:t>
              </w:r>
            </w:ins>
            <w:r>
              <w:rPr>
                <w:rFonts w:hint="eastAsia" w:ascii="宋体" w:hAnsi="宋体" w:eastAsia="宋体" w:cs="宋体"/>
                <w:color w:val="auto"/>
                <w:kern w:val="0"/>
                <w:sz w:val="24"/>
                <w:szCs w:val="24"/>
                <w:highlight w:val="none"/>
              </w:rPr>
              <w:t>分</w:t>
            </w:r>
          </w:p>
        </w:tc>
      </w:tr>
      <w:tr w14:paraId="4360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11605035">
            <w:pPr>
              <w:keepNext w:val="0"/>
              <w:keepLines w:val="0"/>
              <w:pageBreakBefore w:val="0"/>
              <w:kinsoku/>
              <w:wordWrap/>
              <w:overflowPunct/>
              <w:topLinePunct w:val="0"/>
              <w:bidi w:val="0"/>
              <w:spacing w:line="360" w:lineRule="auto"/>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总体服务方案（</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458B1961">
            <w:pPr>
              <w:keepNext w:val="0"/>
              <w:keepLines w:val="0"/>
              <w:pageBreakBefore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评审小组根据</w:t>
            </w:r>
            <w:ins w:id="28" w:author="杨工" w:date="2026-08-10T12:07:07Z">
              <w:r>
                <w:rPr>
                  <w:rFonts w:hint="eastAsia" w:ascii="宋体" w:hAnsi="宋体" w:cs="宋体"/>
                  <w:color w:val="auto"/>
                  <w:kern w:val="0"/>
                  <w:sz w:val="24"/>
                  <w:szCs w:val="24"/>
                  <w:highlight w:val="none"/>
                  <w:lang w:val="en-US" w:eastAsia="zh-CN"/>
                </w:rPr>
                <w:t>采购</w:t>
              </w:r>
            </w:ins>
            <w:r>
              <w:rPr>
                <w:rFonts w:hint="eastAsia" w:ascii="宋体" w:hAnsi="宋体" w:eastAsia="宋体" w:cs="宋体"/>
                <w:color w:val="auto"/>
                <w:kern w:val="0"/>
                <w:sz w:val="24"/>
                <w:szCs w:val="24"/>
                <w:highlight w:val="none"/>
                <w:lang w:eastAsia="en-US"/>
              </w:rPr>
              <w:t>文件要求及</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eastAsia="en-US"/>
              </w:rPr>
              <w:t>提供的本项目的</w:t>
            </w:r>
            <w:r>
              <w:rPr>
                <w:rFonts w:hint="eastAsia" w:ascii="宋体" w:hAnsi="宋体" w:eastAsia="宋体" w:cs="宋体"/>
                <w:color w:val="auto"/>
                <w:kern w:val="0"/>
                <w:sz w:val="24"/>
                <w:szCs w:val="24"/>
                <w:highlight w:val="none"/>
                <w:lang w:val="en-US" w:eastAsia="zh-CN"/>
              </w:rPr>
              <w:t>项目理解、总体部署思路、项目重难点分析及应对措施</w:t>
            </w:r>
            <w:r>
              <w:rPr>
                <w:rFonts w:hint="eastAsia" w:ascii="宋体" w:hAnsi="宋体" w:eastAsia="宋体" w:cs="宋体"/>
                <w:color w:val="auto"/>
                <w:kern w:val="0"/>
                <w:sz w:val="24"/>
                <w:szCs w:val="24"/>
                <w:highlight w:val="none"/>
                <w:lang w:eastAsia="en-US"/>
              </w:rPr>
              <w:t>情况，进行综合评分：</w:t>
            </w:r>
          </w:p>
          <w:p w14:paraId="2AD30868">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1、</w:t>
            </w:r>
            <w:r>
              <w:rPr>
                <w:rFonts w:hint="eastAsia" w:ascii="宋体" w:hAnsi="宋体" w:eastAsia="宋体" w:cs="宋体"/>
                <w:color w:val="auto"/>
                <w:spacing w:val="-3"/>
                <w:kern w:val="0"/>
                <w:sz w:val="24"/>
                <w:szCs w:val="24"/>
                <w:highlight w:val="none"/>
                <w:lang w:eastAsia="en-US"/>
              </w:rPr>
              <w:t>方案内容完整、详尽细致；可行性、针对性强的，得</w:t>
            </w:r>
            <w:r>
              <w:rPr>
                <w:rFonts w:hint="eastAsia" w:ascii="宋体" w:hAnsi="宋体" w:eastAsia="宋体" w:cs="宋体"/>
                <w:b w:val="0"/>
                <w:bCs w:val="0"/>
                <w:color w:val="auto"/>
                <w:kern w:val="0"/>
                <w:sz w:val="24"/>
                <w:szCs w:val="24"/>
                <w:highlight w:val="none"/>
                <w:lang w:val="en-US" w:eastAsia="zh-CN"/>
              </w:rPr>
              <w:t>3＜F≤</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color w:val="auto"/>
                <w:spacing w:val="-3"/>
                <w:kern w:val="0"/>
                <w:sz w:val="24"/>
                <w:szCs w:val="24"/>
                <w:highlight w:val="none"/>
                <w:lang w:eastAsia="en-US"/>
              </w:rPr>
              <w:t xml:space="preserve"> 分；</w:t>
            </w:r>
          </w:p>
          <w:p w14:paraId="64B0D828">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2、</w:t>
            </w:r>
            <w:r>
              <w:rPr>
                <w:rFonts w:hint="eastAsia" w:ascii="宋体" w:hAnsi="宋体" w:eastAsia="宋体" w:cs="宋体"/>
                <w:color w:val="auto"/>
                <w:spacing w:val="-3"/>
                <w:kern w:val="0"/>
                <w:sz w:val="24"/>
                <w:szCs w:val="24"/>
                <w:highlight w:val="none"/>
                <w:lang w:eastAsia="en-US"/>
              </w:rPr>
              <w:t>方案内容完整；具有可行性和针对性的，得</w:t>
            </w:r>
            <w:r>
              <w:rPr>
                <w:rFonts w:hint="eastAsia" w:ascii="宋体" w:hAnsi="宋体" w:eastAsia="宋体" w:cs="宋体"/>
                <w:b w:val="0"/>
                <w:bCs w:val="0"/>
                <w:color w:val="auto"/>
                <w:kern w:val="0"/>
                <w:sz w:val="24"/>
                <w:szCs w:val="24"/>
                <w:highlight w:val="none"/>
                <w:lang w:val="en-US" w:eastAsia="zh-CN"/>
              </w:rPr>
              <w:t>2＜F≤3</w:t>
            </w:r>
            <w:r>
              <w:rPr>
                <w:rFonts w:hint="eastAsia" w:ascii="宋体" w:hAnsi="宋体" w:eastAsia="宋体" w:cs="宋体"/>
                <w:color w:val="auto"/>
                <w:spacing w:val="-3"/>
                <w:kern w:val="0"/>
                <w:sz w:val="24"/>
                <w:szCs w:val="24"/>
                <w:highlight w:val="none"/>
                <w:lang w:eastAsia="en-US"/>
              </w:rPr>
              <w:t>分；</w:t>
            </w:r>
          </w:p>
          <w:p w14:paraId="522E5644">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3、</w:t>
            </w:r>
            <w:r>
              <w:rPr>
                <w:rFonts w:hint="eastAsia" w:ascii="宋体" w:hAnsi="宋体" w:eastAsia="宋体" w:cs="宋体"/>
                <w:color w:val="auto"/>
                <w:spacing w:val="-3"/>
                <w:kern w:val="0"/>
                <w:sz w:val="24"/>
                <w:szCs w:val="24"/>
                <w:highlight w:val="none"/>
                <w:lang w:eastAsia="en-US"/>
              </w:rPr>
              <w:t>方案内容基本适合本项目</w:t>
            </w:r>
            <w:ins w:id="29" w:author="杨工" w:date="2026-08-10T12:07:12Z">
              <w:r>
                <w:rPr>
                  <w:rFonts w:hint="eastAsia" w:ascii="宋体" w:hAnsi="宋体" w:cs="宋体"/>
                  <w:color w:val="auto"/>
                  <w:spacing w:val="-3"/>
                  <w:kern w:val="0"/>
                  <w:sz w:val="24"/>
                  <w:szCs w:val="24"/>
                  <w:highlight w:val="none"/>
                  <w:lang w:val="en-US" w:eastAsia="zh-CN"/>
                </w:rPr>
                <w:t>采购</w:t>
              </w:r>
            </w:ins>
            <w:r>
              <w:rPr>
                <w:rFonts w:hint="eastAsia" w:ascii="宋体" w:hAnsi="宋体" w:eastAsia="宋体" w:cs="宋体"/>
                <w:color w:val="auto"/>
                <w:spacing w:val="-3"/>
                <w:kern w:val="0"/>
                <w:sz w:val="24"/>
                <w:szCs w:val="24"/>
                <w:highlight w:val="none"/>
                <w:lang w:eastAsia="en-US"/>
              </w:rPr>
              <w:t>需求，可行性、针对性有待改善的，得</w:t>
            </w:r>
            <w:r>
              <w:rPr>
                <w:rFonts w:hint="eastAsia" w:ascii="宋体" w:hAnsi="宋体" w:eastAsia="宋体" w:cs="宋体"/>
                <w:b w:val="0"/>
                <w:bCs w:val="0"/>
                <w:color w:val="auto"/>
                <w:kern w:val="0"/>
                <w:sz w:val="24"/>
                <w:szCs w:val="24"/>
                <w:highlight w:val="none"/>
                <w:lang w:val="en-US" w:eastAsia="zh-CN"/>
              </w:rPr>
              <w:t>0＜F≤2</w:t>
            </w:r>
            <w:r>
              <w:rPr>
                <w:rFonts w:hint="eastAsia" w:ascii="宋体" w:hAnsi="宋体" w:eastAsia="宋体" w:cs="宋体"/>
                <w:color w:val="auto"/>
                <w:spacing w:val="-3"/>
                <w:kern w:val="0"/>
                <w:sz w:val="24"/>
                <w:szCs w:val="24"/>
                <w:highlight w:val="none"/>
                <w:lang w:val="en-US" w:eastAsia="zh-CN"/>
              </w:rPr>
              <w:t>分</w:t>
            </w:r>
            <w:r>
              <w:rPr>
                <w:rFonts w:hint="eastAsia" w:ascii="宋体" w:hAnsi="宋体" w:eastAsia="宋体" w:cs="宋体"/>
                <w:color w:val="auto"/>
                <w:spacing w:val="-3"/>
                <w:kern w:val="0"/>
                <w:sz w:val="24"/>
                <w:szCs w:val="24"/>
                <w:highlight w:val="none"/>
                <w:lang w:eastAsia="en-US"/>
              </w:rPr>
              <w:t>；</w:t>
            </w:r>
          </w:p>
          <w:p w14:paraId="23662F79">
            <w:pPr>
              <w:keepNext w:val="0"/>
              <w:keepLines w:val="0"/>
              <w:pageBreakBefore w:val="0"/>
              <w:widowControl/>
              <w:numPr>
                <w:ilvl w:val="0"/>
                <w:numId w:val="0"/>
              </w:numPr>
              <w:suppressLineNumbers w:val="0"/>
              <w:kinsoku/>
              <w:wordWrap/>
              <w:overflowPunct/>
              <w:topLinePunct w:val="0"/>
              <w:bidi w:val="0"/>
              <w:spacing w:line="360" w:lineRule="auto"/>
              <w:ind w:left="0" w:leftChars="0" w:firstLine="0" w:firstLineChars="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pacing w:val="-3"/>
                <w:kern w:val="0"/>
                <w:sz w:val="24"/>
                <w:szCs w:val="24"/>
                <w:highlight w:val="none"/>
                <w:lang w:eastAsia="en-US"/>
              </w:rPr>
              <w:t>4、方案不可行或者未提供相关内容的不得分。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1FBB150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b w:val="0"/>
                <w:bCs w:val="0"/>
                <w:color w:val="auto"/>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r>
      <w:tr w14:paraId="5863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460BC8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kern w:val="0"/>
                <w:sz w:val="24"/>
                <w:szCs w:val="24"/>
                <w:highlight w:val="none"/>
                <w:lang w:val="en-US" w:eastAsia="zh-CN"/>
              </w:rPr>
              <w:t>人员招聘及补员方案（</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36A8E9ED">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评审小组根据</w:t>
            </w:r>
            <w:ins w:id="30" w:author="杨工" w:date="2026-08-10T12:07:19Z">
              <w:r>
                <w:rPr>
                  <w:rFonts w:hint="eastAsia" w:ascii="宋体" w:hAnsi="宋体" w:cs="宋体"/>
                  <w:b w:val="0"/>
                  <w:bCs w:val="0"/>
                  <w:color w:val="auto"/>
                  <w:kern w:val="0"/>
                  <w:sz w:val="24"/>
                  <w:szCs w:val="24"/>
                  <w:highlight w:val="none"/>
                  <w:lang w:val="en-US" w:eastAsia="zh-CN"/>
                </w:rPr>
                <w:t>采购</w:t>
              </w:r>
            </w:ins>
            <w:r>
              <w:rPr>
                <w:rFonts w:hint="eastAsia" w:ascii="宋体" w:hAnsi="宋体" w:eastAsia="宋体" w:cs="宋体"/>
                <w:b w:val="0"/>
                <w:bCs w:val="0"/>
                <w:color w:val="auto"/>
                <w:kern w:val="0"/>
                <w:sz w:val="24"/>
                <w:szCs w:val="24"/>
                <w:highlight w:val="none"/>
                <w:lang w:val="en-US" w:eastAsia="zh-CN"/>
              </w:rPr>
              <w:t>文件要求及</w:t>
            </w:r>
            <w:r>
              <w:rPr>
                <w:rFonts w:hint="eastAsia" w:ascii="宋体" w:hAnsi="宋体" w:cs="宋体"/>
                <w:b w:val="0"/>
                <w:bCs w:val="0"/>
                <w:color w:val="auto"/>
                <w:kern w:val="0"/>
                <w:sz w:val="24"/>
                <w:szCs w:val="24"/>
                <w:highlight w:val="none"/>
                <w:lang w:val="en-US" w:eastAsia="zh-CN"/>
              </w:rPr>
              <w:t>供应商</w:t>
            </w:r>
            <w:r>
              <w:rPr>
                <w:rFonts w:hint="eastAsia" w:ascii="宋体" w:hAnsi="宋体" w:eastAsia="宋体" w:cs="宋体"/>
                <w:b w:val="0"/>
                <w:bCs w:val="0"/>
                <w:color w:val="auto"/>
                <w:kern w:val="0"/>
                <w:sz w:val="24"/>
                <w:szCs w:val="24"/>
                <w:highlight w:val="none"/>
                <w:lang w:val="en-US" w:eastAsia="zh-CN"/>
              </w:rPr>
              <w:t>提供的人员招聘及补员方案，进行综合评分：</w:t>
            </w:r>
          </w:p>
          <w:p w14:paraId="01B5CA4C">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1、方案内容完整、详尽细致；可行性、针对性强的，得3＜F≤</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p w14:paraId="53EEF348">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2、方案内容完整；具有可行性和针对性的，得2＜F≤3分；</w:t>
            </w:r>
          </w:p>
          <w:p w14:paraId="5D712F2C">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3、方案内容基本适合本项目</w:t>
            </w:r>
            <w:ins w:id="31" w:author="杨工" w:date="2026-08-10T12:07:24Z">
              <w:r>
                <w:rPr>
                  <w:rFonts w:hint="eastAsia" w:ascii="宋体" w:hAnsi="宋体" w:cs="宋体"/>
                  <w:b w:val="0"/>
                  <w:bCs w:val="0"/>
                  <w:color w:val="auto"/>
                  <w:kern w:val="0"/>
                  <w:sz w:val="24"/>
                  <w:szCs w:val="24"/>
                  <w:highlight w:val="none"/>
                  <w:lang w:val="en-US" w:eastAsia="zh-CN"/>
                </w:rPr>
                <w:t>采购</w:t>
              </w:r>
            </w:ins>
            <w:r>
              <w:rPr>
                <w:rFonts w:hint="eastAsia" w:ascii="宋体" w:hAnsi="宋体" w:eastAsia="宋体" w:cs="宋体"/>
                <w:b w:val="0"/>
                <w:bCs w:val="0"/>
                <w:color w:val="auto"/>
                <w:kern w:val="0"/>
                <w:sz w:val="24"/>
                <w:szCs w:val="24"/>
                <w:highlight w:val="none"/>
                <w:lang w:val="en-US" w:eastAsia="zh-CN"/>
              </w:rPr>
              <w:t>需求，可行性、针对性有待改善的，得0＜F≤2分；</w:t>
            </w:r>
          </w:p>
          <w:p w14:paraId="2895783E">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4、方案不可行或者未提供相关内容的不得分。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105A23E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b w:val="0"/>
                <w:bCs w:val="0"/>
                <w:color w:val="auto"/>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r>
      <w:tr w14:paraId="0F08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3C96CC7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应急事件保障措施（</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30B36667">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评审小组根据</w:t>
            </w:r>
            <w:ins w:id="32" w:author="杨工" w:date="2026-08-10T12:07:30Z">
              <w:r>
                <w:rPr>
                  <w:rFonts w:hint="eastAsia" w:ascii="宋体" w:hAnsi="宋体" w:cs="宋体"/>
                  <w:b w:val="0"/>
                  <w:bCs w:val="0"/>
                  <w:color w:val="auto"/>
                  <w:kern w:val="0"/>
                  <w:sz w:val="24"/>
                  <w:szCs w:val="24"/>
                  <w:highlight w:val="none"/>
                  <w:lang w:val="en-US" w:eastAsia="zh-CN"/>
                </w:rPr>
                <w:t>采购</w:t>
              </w:r>
            </w:ins>
            <w:r>
              <w:rPr>
                <w:rFonts w:hint="eastAsia" w:ascii="宋体" w:hAnsi="宋体" w:eastAsia="宋体" w:cs="宋体"/>
                <w:b w:val="0"/>
                <w:bCs w:val="0"/>
                <w:color w:val="auto"/>
                <w:kern w:val="0"/>
                <w:sz w:val="24"/>
                <w:szCs w:val="24"/>
                <w:highlight w:val="none"/>
                <w:lang w:val="en-US" w:eastAsia="zh-CN"/>
              </w:rPr>
              <w:t>文件要求及</w:t>
            </w:r>
            <w:r>
              <w:rPr>
                <w:rFonts w:hint="eastAsia" w:ascii="宋体" w:hAnsi="宋体" w:cs="宋体"/>
                <w:b w:val="0"/>
                <w:bCs w:val="0"/>
                <w:color w:val="auto"/>
                <w:kern w:val="0"/>
                <w:sz w:val="24"/>
                <w:szCs w:val="24"/>
                <w:highlight w:val="none"/>
                <w:lang w:val="en-US" w:eastAsia="zh-CN"/>
              </w:rPr>
              <w:t>供应商</w:t>
            </w:r>
            <w:r>
              <w:rPr>
                <w:rFonts w:hint="eastAsia" w:ascii="宋体" w:hAnsi="宋体" w:eastAsia="宋体" w:cs="宋体"/>
                <w:b w:val="0"/>
                <w:bCs w:val="0"/>
                <w:color w:val="auto"/>
                <w:kern w:val="0"/>
                <w:sz w:val="24"/>
                <w:szCs w:val="24"/>
                <w:highlight w:val="none"/>
                <w:lang w:val="en-US" w:eastAsia="zh-CN"/>
              </w:rPr>
              <w:t>提供的应急事件保障措施方案，进行综合评分：</w:t>
            </w:r>
          </w:p>
          <w:p w14:paraId="37B41B7B">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1、方案内容完整、详尽细致；可行性、针对性强的，得3＜F≤</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p w14:paraId="371C69A5">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2、方案内容完整；具有可行性和针对性的，得2＜F≤3分；</w:t>
            </w:r>
          </w:p>
          <w:p w14:paraId="502FAE9D">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3、方案内容基本适合本项目</w:t>
            </w:r>
            <w:ins w:id="33" w:author="杨工" w:date="2026-08-10T12:07:36Z">
              <w:r>
                <w:rPr>
                  <w:rFonts w:hint="eastAsia" w:ascii="宋体" w:hAnsi="宋体" w:cs="宋体"/>
                  <w:b w:val="0"/>
                  <w:bCs w:val="0"/>
                  <w:color w:val="auto"/>
                  <w:kern w:val="0"/>
                  <w:sz w:val="24"/>
                  <w:szCs w:val="24"/>
                  <w:highlight w:val="none"/>
                  <w:lang w:val="en-US" w:eastAsia="zh-CN"/>
                </w:rPr>
                <w:t>采购</w:t>
              </w:r>
            </w:ins>
            <w:r>
              <w:rPr>
                <w:rFonts w:hint="eastAsia" w:ascii="宋体" w:hAnsi="宋体" w:eastAsia="宋体" w:cs="宋体"/>
                <w:b w:val="0"/>
                <w:bCs w:val="0"/>
                <w:color w:val="auto"/>
                <w:kern w:val="0"/>
                <w:sz w:val="24"/>
                <w:szCs w:val="24"/>
                <w:highlight w:val="none"/>
                <w:lang w:val="en-US" w:eastAsia="zh-CN"/>
              </w:rPr>
              <w:t>需求，可行性、针对性有待改善的，得0＜F≤2分；</w:t>
            </w:r>
          </w:p>
          <w:p w14:paraId="397E7EF1">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4、方案不可行或者未提供相关内容的不得分。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7F64DA0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r>
      <w:tr w14:paraId="641E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001E606B">
            <w:pPr>
              <w:pStyle w:val="52"/>
              <w:keepNext w:val="0"/>
              <w:keepLines w:val="0"/>
              <w:pageBreakBefore w:val="0"/>
              <w:kinsoku/>
              <w:wordWrap/>
              <w:overflowPunct/>
              <w:topLinePunct w:val="0"/>
              <w:bidi w:val="0"/>
              <w:spacing w:before="86" w:line="360" w:lineRule="auto"/>
              <w:ind w:left="111" w:right="113" w:firstLine="0" w:firstLineChars="0"/>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kern w:val="0"/>
                <w:sz w:val="24"/>
                <w:szCs w:val="24"/>
                <w:highlight w:val="none"/>
                <w:lang w:val="en-US" w:eastAsia="zh-CN"/>
              </w:rPr>
              <w:t>管理制度（</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6FBAEC48">
            <w:pPr>
              <w:keepNext w:val="0"/>
              <w:keepLines w:val="0"/>
              <w:pageBreakBefore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评审小组根据</w:t>
            </w:r>
            <w:ins w:id="34" w:author="杨工" w:date="2026-08-10T12:07:40Z">
              <w:r>
                <w:rPr>
                  <w:rFonts w:hint="eastAsia" w:ascii="宋体" w:hAnsi="宋体" w:cs="宋体"/>
                  <w:color w:val="auto"/>
                  <w:kern w:val="0"/>
                  <w:sz w:val="24"/>
                  <w:szCs w:val="24"/>
                  <w:highlight w:val="none"/>
                  <w:lang w:val="en-US" w:eastAsia="zh-CN"/>
                </w:rPr>
                <w:t>采购</w:t>
              </w:r>
            </w:ins>
            <w:r>
              <w:rPr>
                <w:rFonts w:hint="eastAsia" w:ascii="宋体" w:hAnsi="宋体" w:eastAsia="宋体" w:cs="宋体"/>
                <w:color w:val="auto"/>
                <w:kern w:val="0"/>
                <w:sz w:val="24"/>
                <w:szCs w:val="24"/>
                <w:highlight w:val="none"/>
                <w:lang w:eastAsia="en-US"/>
              </w:rPr>
              <w:t>文件要求及</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eastAsia="en-US"/>
              </w:rPr>
              <w:t>提供的本项目的</w:t>
            </w:r>
            <w:r>
              <w:rPr>
                <w:rFonts w:hint="eastAsia" w:ascii="宋体" w:hAnsi="宋体" w:eastAsia="宋体" w:cs="宋体"/>
                <w:color w:val="auto"/>
                <w:kern w:val="0"/>
                <w:sz w:val="24"/>
                <w:szCs w:val="24"/>
                <w:highlight w:val="none"/>
                <w:lang w:val="en-US" w:eastAsia="zh-CN"/>
              </w:rPr>
              <w:t>人员管理制度</w:t>
            </w:r>
            <w:r>
              <w:rPr>
                <w:rFonts w:hint="eastAsia" w:ascii="宋体" w:hAnsi="宋体" w:eastAsia="宋体" w:cs="宋体"/>
                <w:color w:val="auto"/>
                <w:kern w:val="0"/>
                <w:sz w:val="24"/>
                <w:szCs w:val="24"/>
                <w:highlight w:val="none"/>
                <w:lang w:eastAsia="en-US"/>
              </w:rPr>
              <w:t>，进行综合评分：</w:t>
            </w:r>
          </w:p>
          <w:p w14:paraId="6B6EA2B6">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1、</w:t>
            </w:r>
            <w:r>
              <w:rPr>
                <w:rFonts w:hint="eastAsia" w:ascii="宋体" w:hAnsi="宋体" w:eastAsia="宋体" w:cs="宋体"/>
                <w:color w:val="auto"/>
                <w:spacing w:val="-3"/>
                <w:kern w:val="0"/>
                <w:sz w:val="24"/>
                <w:szCs w:val="24"/>
                <w:highlight w:val="none"/>
                <w:lang w:val="en-US" w:eastAsia="zh-CN" w:bidi="ar-SA"/>
              </w:rPr>
              <w:t>制度</w:t>
            </w:r>
            <w:r>
              <w:rPr>
                <w:rFonts w:hint="eastAsia" w:ascii="宋体" w:hAnsi="宋体" w:eastAsia="宋体" w:cs="宋体"/>
                <w:color w:val="auto"/>
                <w:spacing w:val="-3"/>
                <w:kern w:val="0"/>
                <w:sz w:val="24"/>
                <w:szCs w:val="24"/>
                <w:highlight w:val="none"/>
                <w:lang w:eastAsia="en-US"/>
              </w:rPr>
              <w:t>内容完整、详尽细致；可行性、针对性强的，得</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color w:val="auto"/>
                <w:spacing w:val="-3"/>
                <w:kern w:val="0"/>
                <w:sz w:val="24"/>
                <w:szCs w:val="24"/>
                <w:highlight w:val="none"/>
                <w:lang w:eastAsia="en-US"/>
              </w:rPr>
              <w:t>F≤</w:t>
            </w:r>
            <w:r>
              <w:rPr>
                <w:rFonts w:hint="eastAsia" w:ascii="宋体" w:hAnsi="宋体" w:cs="宋体"/>
                <w:color w:val="auto"/>
                <w:spacing w:val="-3"/>
                <w:kern w:val="0"/>
                <w:sz w:val="24"/>
                <w:szCs w:val="24"/>
                <w:highlight w:val="none"/>
                <w:lang w:val="en-US" w:eastAsia="zh-CN"/>
              </w:rPr>
              <w:t>5</w:t>
            </w:r>
            <w:r>
              <w:rPr>
                <w:rFonts w:hint="eastAsia" w:ascii="宋体" w:hAnsi="宋体" w:eastAsia="宋体" w:cs="宋体"/>
                <w:color w:val="auto"/>
                <w:spacing w:val="-3"/>
                <w:kern w:val="0"/>
                <w:sz w:val="24"/>
                <w:szCs w:val="24"/>
                <w:highlight w:val="none"/>
                <w:lang w:eastAsia="en-US"/>
              </w:rPr>
              <w:t>分；</w:t>
            </w:r>
          </w:p>
          <w:p w14:paraId="3FFA8917">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2、</w:t>
            </w:r>
            <w:r>
              <w:rPr>
                <w:rFonts w:hint="eastAsia" w:ascii="宋体" w:hAnsi="宋体" w:eastAsia="宋体" w:cs="宋体"/>
                <w:color w:val="auto"/>
                <w:spacing w:val="-3"/>
                <w:kern w:val="0"/>
                <w:sz w:val="24"/>
                <w:szCs w:val="24"/>
                <w:highlight w:val="none"/>
                <w:lang w:val="en-US" w:eastAsia="zh-CN" w:bidi="ar-SA"/>
              </w:rPr>
              <w:t>制度</w:t>
            </w:r>
            <w:r>
              <w:rPr>
                <w:rFonts w:hint="eastAsia" w:ascii="宋体" w:hAnsi="宋体" w:eastAsia="宋体" w:cs="宋体"/>
                <w:color w:val="auto"/>
                <w:spacing w:val="-3"/>
                <w:kern w:val="0"/>
                <w:sz w:val="24"/>
                <w:szCs w:val="24"/>
                <w:highlight w:val="none"/>
                <w:lang w:eastAsia="en-US"/>
              </w:rPr>
              <w:t>内容完整；具有可行性和针对性的，得</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color w:val="auto"/>
                <w:spacing w:val="-3"/>
                <w:kern w:val="0"/>
                <w:sz w:val="24"/>
                <w:szCs w:val="24"/>
                <w:highlight w:val="none"/>
                <w:lang w:eastAsia="en-US"/>
              </w:rPr>
              <w:t>分；</w:t>
            </w:r>
          </w:p>
          <w:p w14:paraId="5CA080B2">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3、</w:t>
            </w:r>
            <w:r>
              <w:rPr>
                <w:rFonts w:hint="eastAsia" w:ascii="宋体" w:hAnsi="宋体" w:eastAsia="宋体" w:cs="宋体"/>
                <w:color w:val="auto"/>
                <w:spacing w:val="-3"/>
                <w:kern w:val="0"/>
                <w:sz w:val="24"/>
                <w:szCs w:val="24"/>
                <w:highlight w:val="none"/>
                <w:lang w:val="en-US" w:eastAsia="zh-CN" w:bidi="ar-SA"/>
              </w:rPr>
              <w:t>制度</w:t>
            </w:r>
            <w:r>
              <w:rPr>
                <w:rFonts w:hint="eastAsia" w:ascii="宋体" w:hAnsi="宋体" w:eastAsia="宋体" w:cs="宋体"/>
                <w:color w:val="auto"/>
                <w:spacing w:val="-3"/>
                <w:kern w:val="0"/>
                <w:sz w:val="24"/>
                <w:szCs w:val="24"/>
                <w:highlight w:val="none"/>
                <w:lang w:eastAsia="en-US"/>
              </w:rPr>
              <w:t>内容基本适合本项目</w:t>
            </w:r>
            <w:ins w:id="35" w:author="杨工" w:date="2026-08-10T12:07:45Z">
              <w:r>
                <w:rPr>
                  <w:rFonts w:hint="eastAsia" w:ascii="宋体" w:hAnsi="宋体" w:cs="宋体"/>
                  <w:color w:val="auto"/>
                  <w:spacing w:val="-3"/>
                  <w:kern w:val="0"/>
                  <w:sz w:val="24"/>
                  <w:szCs w:val="24"/>
                  <w:highlight w:val="none"/>
                  <w:lang w:val="en-US" w:eastAsia="zh-CN"/>
                </w:rPr>
                <w:t>采购</w:t>
              </w:r>
            </w:ins>
            <w:r>
              <w:rPr>
                <w:rFonts w:hint="eastAsia" w:ascii="宋体" w:hAnsi="宋体" w:eastAsia="宋体" w:cs="宋体"/>
                <w:color w:val="auto"/>
                <w:spacing w:val="-3"/>
                <w:kern w:val="0"/>
                <w:sz w:val="24"/>
                <w:szCs w:val="24"/>
                <w:highlight w:val="none"/>
                <w:lang w:eastAsia="en-US"/>
              </w:rPr>
              <w:t>需求，可行性、针对性有待改善的，得</w:t>
            </w:r>
            <w:r>
              <w:rPr>
                <w:rFonts w:hint="eastAsia" w:ascii="宋体" w:hAnsi="宋体" w:eastAsia="宋体" w:cs="宋体"/>
                <w:color w:val="auto"/>
                <w:spacing w:val="-3"/>
                <w:kern w:val="0"/>
                <w:sz w:val="24"/>
                <w:szCs w:val="24"/>
                <w:highlight w:val="none"/>
                <w:lang w:val="en-US" w:eastAsia="zh-CN"/>
              </w:rPr>
              <w:t>0＜</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分；</w:t>
            </w:r>
          </w:p>
          <w:p w14:paraId="30787BC1">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pacing w:val="-3"/>
                <w:kern w:val="0"/>
                <w:sz w:val="24"/>
                <w:szCs w:val="24"/>
                <w:highlight w:val="none"/>
                <w:lang w:eastAsia="en-US"/>
              </w:rPr>
              <w:t>4、</w:t>
            </w:r>
            <w:r>
              <w:rPr>
                <w:rFonts w:hint="eastAsia" w:ascii="宋体" w:hAnsi="宋体" w:eastAsia="宋体" w:cs="宋体"/>
                <w:color w:val="auto"/>
                <w:spacing w:val="-3"/>
                <w:kern w:val="0"/>
                <w:sz w:val="24"/>
                <w:szCs w:val="24"/>
                <w:highlight w:val="none"/>
                <w:lang w:val="en-US" w:eastAsia="zh-CN"/>
              </w:rPr>
              <w:t>制度</w:t>
            </w:r>
            <w:r>
              <w:rPr>
                <w:rFonts w:hint="eastAsia" w:ascii="宋体" w:hAnsi="宋体" w:eastAsia="宋体" w:cs="宋体"/>
                <w:color w:val="auto"/>
                <w:spacing w:val="-3"/>
                <w:kern w:val="0"/>
                <w:sz w:val="24"/>
                <w:szCs w:val="24"/>
                <w:highlight w:val="none"/>
                <w:lang w:eastAsia="en-US"/>
              </w:rPr>
              <w:t>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186973B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r>
      <w:tr w14:paraId="35EB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25CD1E27">
            <w:pPr>
              <w:pStyle w:val="2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highlight w:val="none"/>
                <w:lang w:val="en-US" w:eastAsia="zh-CN"/>
              </w:rPr>
              <w:t>服务质量保障措施（5分）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60464A3E">
            <w:pPr>
              <w:keepNext w:val="0"/>
              <w:keepLines w:val="0"/>
              <w:pageBreakBefore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评审小组根据</w:t>
            </w:r>
            <w:ins w:id="36" w:author="杨工" w:date="2026-08-10T12:07:49Z">
              <w:r>
                <w:rPr>
                  <w:rFonts w:hint="eastAsia" w:ascii="宋体" w:hAnsi="宋体" w:cs="宋体"/>
                  <w:color w:val="auto"/>
                  <w:kern w:val="0"/>
                  <w:sz w:val="24"/>
                  <w:szCs w:val="24"/>
                  <w:highlight w:val="none"/>
                  <w:lang w:val="en-US" w:eastAsia="zh-CN"/>
                </w:rPr>
                <w:t>采购</w:t>
              </w:r>
            </w:ins>
            <w:r>
              <w:rPr>
                <w:rFonts w:hint="eastAsia" w:ascii="宋体" w:hAnsi="宋体" w:eastAsia="宋体" w:cs="宋体"/>
                <w:color w:val="auto"/>
                <w:kern w:val="0"/>
                <w:sz w:val="24"/>
                <w:szCs w:val="24"/>
                <w:highlight w:val="none"/>
                <w:lang w:eastAsia="en-US"/>
              </w:rPr>
              <w:t>文件要求及</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eastAsia="en-US"/>
              </w:rPr>
              <w:t>提供的本项目的</w:t>
            </w:r>
            <w:r>
              <w:rPr>
                <w:rFonts w:hint="eastAsia" w:ascii="宋体" w:hAnsi="宋体" w:eastAsia="宋体" w:cs="宋体"/>
                <w:color w:val="auto"/>
                <w:kern w:val="0"/>
                <w:sz w:val="24"/>
                <w:szCs w:val="24"/>
                <w:highlight w:val="none"/>
                <w:lang w:val="en-US" w:eastAsia="zh-CN"/>
              </w:rPr>
              <w:t>服务质量保障措施方案</w:t>
            </w:r>
            <w:r>
              <w:rPr>
                <w:rFonts w:hint="eastAsia" w:ascii="宋体" w:hAnsi="宋体" w:eastAsia="宋体" w:cs="宋体"/>
                <w:color w:val="auto"/>
                <w:kern w:val="0"/>
                <w:sz w:val="24"/>
                <w:szCs w:val="24"/>
                <w:highlight w:val="none"/>
                <w:lang w:eastAsia="en-US"/>
              </w:rPr>
              <w:t>，进行综合评分：</w:t>
            </w:r>
          </w:p>
          <w:p w14:paraId="6B406581">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1、</w:t>
            </w:r>
            <w:r>
              <w:rPr>
                <w:rFonts w:hint="eastAsia" w:ascii="宋体" w:hAnsi="宋体" w:eastAsia="宋体" w:cs="宋体"/>
                <w:color w:val="auto"/>
                <w:spacing w:val="-3"/>
                <w:kern w:val="0"/>
                <w:sz w:val="24"/>
                <w:szCs w:val="24"/>
                <w:highlight w:val="none"/>
                <w:lang w:eastAsia="en-US"/>
              </w:rPr>
              <w:t>方案内容完整、详尽细致；可行性、针对性强的，得</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5</w:t>
            </w:r>
            <w:r>
              <w:rPr>
                <w:rFonts w:hint="eastAsia" w:ascii="宋体" w:hAnsi="宋体" w:eastAsia="宋体" w:cs="宋体"/>
                <w:color w:val="auto"/>
                <w:spacing w:val="-3"/>
                <w:kern w:val="0"/>
                <w:sz w:val="24"/>
                <w:szCs w:val="24"/>
                <w:highlight w:val="none"/>
                <w:lang w:eastAsia="en-US"/>
              </w:rPr>
              <w:t>分；</w:t>
            </w:r>
          </w:p>
          <w:p w14:paraId="0742319D">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2、</w:t>
            </w:r>
            <w:r>
              <w:rPr>
                <w:rFonts w:hint="eastAsia" w:ascii="宋体" w:hAnsi="宋体" w:eastAsia="宋体" w:cs="宋体"/>
                <w:color w:val="auto"/>
                <w:spacing w:val="-3"/>
                <w:kern w:val="0"/>
                <w:sz w:val="24"/>
                <w:szCs w:val="24"/>
                <w:highlight w:val="none"/>
                <w:lang w:eastAsia="en-US"/>
              </w:rPr>
              <w:t>方案内容完整；具有可行性和针对性的，得</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color w:val="auto"/>
                <w:spacing w:val="-3"/>
                <w:kern w:val="0"/>
                <w:sz w:val="24"/>
                <w:szCs w:val="24"/>
                <w:highlight w:val="none"/>
                <w:lang w:eastAsia="en-US"/>
              </w:rPr>
              <w:t>分；</w:t>
            </w:r>
          </w:p>
          <w:p w14:paraId="598D46CA">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3、</w:t>
            </w:r>
            <w:r>
              <w:rPr>
                <w:rFonts w:hint="eastAsia" w:ascii="宋体" w:hAnsi="宋体" w:eastAsia="宋体" w:cs="宋体"/>
                <w:color w:val="auto"/>
                <w:spacing w:val="-3"/>
                <w:kern w:val="0"/>
                <w:sz w:val="24"/>
                <w:szCs w:val="24"/>
                <w:highlight w:val="none"/>
                <w:lang w:eastAsia="en-US"/>
              </w:rPr>
              <w:t>方案内容基本适合本项目</w:t>
            </w:r>
            <w:ins w:id="37" w:author="杨工" w:date="2026-08-10T12:07:55Z">
              <w:r>
                <w:rPr>
                  <w:rFonts w:hint="eastAsia" w:ascii="宋体" w:hAnsi="宋体" w:cs="宋体"/>
                  <w:color w:val="auto"/>
                  <w:spacing w:val="-3"/>
                  <w:kern w:val="0"/>
                  <w:sz w:val="24"/>
                  <w:szCs w:val="24"/>
                  <w:highlight w:val="none"/>
                  <w:lang w:val="en-US" w:eastAsia="zh-CN"/>
                </w:rPr>
                <w:t>采购</w:t>
              </w:r>
            </w:ins>
            <w:r>
              <w:rPr>
                <w:rFonts w:hint="eastAsia" w:ascii="宋体" w:hAnsi="宋体" w:eastAsia="宋体" w:cs="宋体"/>
                <w:color w:val="auto"/>
                <w:spacing w:val="-3"/>
                <w:kern w:val="0"/>
                <w:sz w:val="24"/>
                <w:szCs w:val="24"/>
                <w:highlight w:val="none"/>
                <w:lang w:eastAsia="en-US"/>
              </w:rPr>
              <w:t>需求，可行性、针对性有待改善的，得</w:t>
            </w:r>
            <w:r>
              <w:rPr>
                <w:rFonts w:hint="eastAsia" w:ascii="宋体" w:hAnsi="宋体" w:eastAsia="宋体" w:cs="宋体"/>
                <w:color w:val="auto"/>
                <w:spacing w:val="-3"/>
                <w:kern w:val="0"/>
                <w:sz w:val="24"/>
                <w:szCs w:val="24"/>
                <w:highlight w:val="none"/>
                <w:lang w:val="en-US" w:eastAsia="zh-CN"/>
              </w:rPr>
              <w:t>0＜</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分；</w:t>
            </w:r>
          </w:p>
          <w:p w14:paraId="19534779">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pacing w:val="-3"/>
                <w:kern w:val="0"/>
                <w:sz w:val="24"/>
                <w:szCs w:val="24"/>
                <w:highlight w:val="none"/>
                <w:lang w:eastAsia="en-US"/>
              </w:rPr>
              <w:t>4、方案不可行或者未提供相关内容的不得分。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6300BEFE">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0-5分</w:t>
            </w:r>
          </w:p>
        </w:tc>
      </w:tr>
      <w:tr w14:paraId="507D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3DF8EEA2">
            <w:pPr>
              <w:keepNext w:val="0"/>
              <w:keepLines w:val="0"/>
              <w:pageBreakBefore w:val="0"/>
              <w:kinsoku/>
              <w:wordWrap/>
              <w:overflowPunct/>
              <w:topLinePunct w:val="0"/>
              <w:autoSpaceDE w:val="0"/>
              <w:autoSpaceDN w:val="0"/>
              <w:bidi w:val="0"/>
              <w:spacing w:before="0" w:after="0" w:line="360" w:lineRule="auto"/>
              <w:ind w:left="0" w:right="0" w:firstLine="0" w:firstLineChars="0"/>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highlight w:val="none"/>
                <w:lang w:val="en-US" w:eastAsia="zh-CN"/>
              </w:rPr>
              <w:t>培训方案（</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32973CAB">
            <w:pPr>
              <w:keepNext w:val="0"/>
              <w:keepLines w:val="0"/>
              <w:pageBreakBefore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评审小组根据</w:t>
            </w:r>
            <w:ins w:id="38" w:author="杨工" w:date="2026-08-10T12:08:02Z">
              <w:r>
                <w:rPr>
                  <w:rFonts w:hint="eastAsia" w:ascii="宋体" w:hAnsi="宋体" w:cs="宋体"/>
                  <w:color w:val="auto"/>
                  <w:kern w:val="0"/>
                  <w:sz w:val="24"/>
                  <w:szCs w:val="24"/>
                  <w:highlight w:val="none"/>
                  <w:lang w:val="en-US" w:eastAsia="zh-CN"/>
                </w:rPr>
                <w:t>采购</w:t>
              </w:r>
            </w:ins>
            <w:r>
              <w:rPr>
                <w:rFonts w:hint="eastAsia" w:ascii="宋体" w:hAnsi="宋体" w:eastAsia="宋体" w:cs="宋体"/>
                <w:color w:val="auto"/>
                <w:kern w:val="0"/>
                <w:sz w:val="24"/>
                <w:szCs w:val="24"/>
                <w:highlight w:val="none"/>
                <w:lang w:eastAsia="en-US"/>
              </w:rPr>
              <w:t>文件要求及</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eastAsia="en-US"/>
              </w:rPr>
              <w:t>提供的本项目的</w:t>
            </w:r>
            <w:r>
              <w:rPr>
                <w:rFonts w:hint="eastAsia" w:ascii="宋体" w:hAnsi="宋体" w:eastAsia="宋体" w:cs="宋体"/>
                <w:color w:val="auto"/>
                <w:kern w:val="0"/>
                <w:sz w:val="24"/>
                <w:szCs w:val="24"/>
                <w:highlight w:val="none"/>
                <w:lang w:val="en-US" w:eastAsia="zh-CN"/>
              </w:rPr>
              <w:t>外包人员培训方案</w:t>
            </w:r>
            <w:r>
              <w:rPr>
                <w:rFonts w:hint="eastAsia" w:ascii="宋体" w:hAnsi="宋体" w:eastAsia="宋体" w:cs="宋体"/>
                <w:color w:val="auto"/>
                <w:kern w:val="0"/>
                <w:sz w:val="24"/>
                <w:szCs w:val="24"/>
                <w:highlight w:val="none"/>
                <w:lang w:eastAsia="en-US"/>
              </w:rPr>
              <w:t>，进行综合评分：</w:t>
            </w:r>
          </w:p>
          <w:p w14:paraId="1B5F48B8">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1、</w:t>
            </w:r>
            <w:r>
              <w:rPr>
                <w:rFonts w:hint="eastAsia" w:ascii="宋体" w:hAnsi="宋体" w:eastAsia="宋体" w:cs="宋体"/>
                <w:color w:val="auto"/>
                <w:spacing w:val="-3"/>
                <w:kern w:val="0"/>
                <w:sz w:val="24"/>
                <w:szCs w:val="24"/>
                <w:highlight w:val="none"/>
                <w:lang w:eastAsia="en-US"/>
              </w:rPr>
              <w:t>方案内容完整、详尽细致；可行性、针对性强的，得</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color w:val="auto"/>
                <w:spacing w:val="-3"/>
                <w:kern w:val="0"/>
                <w:sz w:val="24"/>
                <w:szCs w:val="24"/>
                <w:highlight w:val="none"/>
                <w:lang w:eastAsia="en-US"/>
              </w:rPr>
              <w:t>F≤</w:t>
            </w:r>
            <w:r>
              <w:rPr>
                <w:rFonts w:hint="eastAsia" w:ascii="宋体" w:hAnsi="宋体" w:cs="宋体"/>
                <w:color w:val="auto"/>
                <w:spacing w:val="-3"/>
                <w:kern w:val="0"/>
                <w:sz w:val="24"/>
                <w:szCs w:val="24"/>
                <w:highlight w:val="none"/>
                <w:lang w:val="en-US" w:eastAsia="zh-CN"/>
              </w:rPr>
              <w:t>5</w:t>
            </w:r>
            <w:r>
              <w:rPr>
                <w:rFonts w:hint="eastAsia" w:ascii="宋体" w:hAnsi="宋体" w:eastAsia="宋体" w:cs="宋体"/>
                <w:color w:val="auto"/>
                <w:spacing w:val="-3"/>
                <w:kern w:val="0"/>
                <w:sz w:val="24"/>
                <w:szCs w:val="24"/>
                <w:highlight w:val="none"/>
                <w:lang w:eastAsia="en-US"/>
              </w:rPr>
              <w:t>分；</w:t>
            </w:r>
          </w:p>
          <w:p w14:paraId="1577CCD4">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2、</w:t>
            </w:r>
            <w:r>
              <w:rPr>
                <w:rFonts w:hint="eastAsia" w:ascii="宋体" w:hAnsi="宋体" w:eastAsia="宋体" w:cs="宋体"/>
                <w:color w:val="auto"/>
                <w:spacing w:val="-3"/>
                <w:kern w:val="0"/>
                <w:sz w:val="24"/>
                <w:szCs w:val="24"/>
                <w:highlight w:val="none"/>
                <w:lang w:eastAsia="en-US"/>
              </w:rPr>
              <w:t>方案内容完整；具有可行性和针对性的，得</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3</w:t>
            </w:r>
            <w:r>
              <w:rPr>
                <w:rFonts w:hint="eastAsia" w:ascii="宋体" w:hAnsi="宋体" w:eastAsia="宋体" w:cs="宋体"/>
                <w:color w:val="auto"/>
                <w:spacing w:val="-3"/>
                <w:kern w:val="0"/>
                <w:sz w:val="24"/>
                <w:szCs w:val="24"/>
                <w:highlight w:val="none"/>
                <w:lang w:eastAsia="en-US"/>
              </w:rPr>
              <w:t>分；</w:t>
            </w:r>
          </w:p>
          <w:p w14:paraId="45A52CCE">
            <w:pPr>
              <w:keepNext w:val="0"/>
              <w:keepLines w:val="0"/>
              <w:pageBreakBefore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宋体" w:hAnsi="宋体" w:eastAsia="宋体" w:cs="宋体"/>
                <w:color w:val="auto"/>
                <w:spacing w:val="-3"/>
                <w:kern w:val="0"/>
                <w:sz w:val="24"/>
                <w:szCs w:val="24"/>
                <w:highlight w:val="none"/>
                <w:lang w:eastAsia="en-US"/>
              </w:rPr>
            </w:pPr>
            <w:r>
              <w:rPr>
                <w:rFonts w:hint="eastAsia" w:ascii="宋体" w:hAnsi="宋体" w:eastAsia="宋体" w:cs="宋体"/>
                <w:color w:val="auto"/>
                <w:spacing w:val="-3"/>
                <w:kern w:val="0"/>
                <w:sz w:val="24"/>
                <w:szCs w:val="24"/>
                <w:highlight w:val="none"/>
                <w:lang w:val="en-US" w:eastAsia="en-US" w:bidi="ar-SA"/>
              </w:rPr>
              <w:t>3、</w:t>
            </w:r>
            <w:r>
              <w:rPr>
                <w:rFonts w:hint="eastAsia" w:ascii="宋体" w:hAnsi="宋体" w:eastAsia="宋体" w:cs="宋体"/>
                <w:color w:val="auto"/>
                <w:spacing w:val="-3"/>
                <w:kern w:val="0"/>
                <w:sz w:val="24"/>
                <w:szCs w:val="24"/>
                <w:highlight w:val="none"/>
                <w:lang w:eastAsia="en-US"/>
              </w:rPr>
              <w:t>方案内容基本适合本项目</w:t>
            </w:r>
            <w:ins w:id="39" w:author="杨工" w:date="2026-08-10T12:08:07Z">
              <w:r>
                <w:rPr>
                  <w:rFonts w:hint="eastAsia" w:ascii="宋体" w:hAnsi="宋体" w:cs="宋体"/>
                  <w:color w:val="auto"/>
                  <w:spacing w:val="-3"/>
                  <w:kern w:val="0"/>
                  <w:sz w:val="24"/>
                  <w:szCs w:val="24"/>
                  <w:highlight w:val="none"/>
                  <w:lang w:val="en-US" w:eastAsia="zh-CN"/>
                </w:rPr>
                <w:t>采购</w:t>
              </w:r>
            </w:ins>
            <w:r>
              <w:rPr>
                <w:rFonts w:hint="eastAsia" w:ascii="宋体" w:hAnsi="宋体" w:eastAsia="宋体" w:cs="宋体"/>
                <w:color w:val="auto"/>
                <w:spacing w:val="-3"/>
                <w:kern w:val="0"/>
                <w:sz w:val="24"/>
                <w:szCs w:val="24"/>
                <w:highlight w:val="none"/>
                <w:lang w:eastAsia="en-US"/>
              </w:rPr>
              <w:t>需求，可行性、针对性有待改善的，得</w:t>
            </w:r>
            <w:r>
              <w:rPr>
                <w:rFonts w:hint="eastAsia" w:ascii="宋体" w:hAnsi="宋体" w:eastAsia="宋体" w:cs="宋体"/>
                <w:color w:val="auto"/>
                <w:spacing w:val="-3"/>
                <w:kern w:val="0"/>
                <w:sz w:val="24"/>
                <w:szCs w:val="24"/>
                <w:highlight w:val="none"/>
                <w:lang w:val="en-US" w:eastAsia="zh-CN"/>
              </w:rPr>
              <w:t>0＜</w:t>
            </w:r>
            <w:r>
              <w:rPr>
                <w:rFonts w:hint="eastAsia" w:ascii="宋体" w:hAnsi="宋体" w:eastAsia="宋体" w:cs="宋体"/>
                <w:color w:val="auto"/>
                <w:spacing w:val="-3"/>
                <w:kern w:val="0"/>
                <w:sz w:val="24"/>
                <w:szCs w:val="24"/>
                <w:highlight w:val="none"/>
                <w:lang w:eastAsia="en-US"/>
              </w:rPr>
              <w:t>F≤</w:t>
            </w:r>
            <w:r>
              <w:rPr>
                <w:rFonts w:hint="eastAsia" w:ascii="宋体" w:hAnsi="宋体" w:eastAsia="宋体" w:cs="宋体"/>
                <w:color w:val="auto"/>
                <w:spacing w:val="-3"/>
                <w:kern w:val="0"/>
                <w:sz w:val="24"/>
                <w:szCs w:val="24"/>
                <w:highlight w:val="none"/>
                <w:lang w:val="en-US" w:eastAsia="zh-CN"/>
              </w:rPr>
              <w:t>2</w:t>
            </w:r>
            <w:r>
              <w:rPr>
                <w:rFonts w:hint="eastAsia" w:ascii="宋体" w:hAnsi="宋体" w:eastAsia="宋体" w:cs="宋体"/>
                <w:color w:val="auto"/>
                <w:spacing w:val="-3"/>
                <w:kern w:val="0"/>
                <w:sz w:val="24"/>
                <w:szCs w:val="24"/>
                <w:highlight w:val="none"/>
                <w:lang w:eastAsia="en-US"/>
              </w:rPr>
              <w:t>分；</w:t>
            </w:r>
          </w:p>
          <w:p w14:paraId="1452D96E">
            <w:pPr>
              <w:keepNext w:val="0"/>
              <w:keepLines w:val="0"/>
              <w:pageBreakBefore w:val="0"/>
              <w:widowControl/>
              <w:numPr>
                <w:ilvl w:val="0"/>
                <w:numId w:val="0"/>
              </w:numPr>
              <w:suppressLineNumbers w:val="0"/>
              <w:kinsoku/>
              <w:wordWrap/>
              <w:overflowPunct/>
              <w:topLinePunct w:val="0"/>
              <w:bidi w:val="0"/>
              <w:spacing w:line="360" w:lineRule="auto"/>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pacing w:val="-3"/>
                <w:kern w:val="0"/>
                <w:sz w:val="24"/>
                <w:szCs w:val="24"/>
                <w:highlight w:val="none"/>
                <w:lang w:eastAsia="en-US"/>
              </w:rPr>
              <w:t>4、方案不可行或者未提供相关内容的不得分。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5F2C427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tc>
      </w:tr>
      <w:tr w14:paraId="158A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334BFCA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系统平台(1</w:t>
            </w:r>
            <w:ins w:id="40" w:author="杨工" w:date="2026-08-10T12:03:55Z">
              <w:r>
                <w:rPr>
                  <w:rFonts w:hint="eastAsia" w:ascii="宋体" w:hAnsi="宋体" w:cs="宋体"/>
                  <w:color w:val="auto"/>
                  <w:kern w:val="0"/>
                  <w:sz w:val="24"/>
                  <w:szCs w:val="24"/>
                  <w:highlight w:val="none"/>
                  <w:lang w:val="en-US" w:eastAsia="zh-CN"/>
                </w:rPr>
                <w:t>2</w:t>
              </w:r>
            </w:ins>
            <w:r>
              <w:rPr>
                <w:rFonts w:hint="eastAsia" w:ascii="宋体" w:hAnsi="宋体" w:eastAsia="宋体" w:cs="宋体"/>
                <w:color w:val="auto"/>
                <w:kern w:val="0"/>
                <w:sz w:val="24"/>
                <w:szCs w:val="24"/>
                <w:highlight w:val="none"/>
              </w:rPr>
              <w:t>分)</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20C23468">
            <w:pPr>
              <w:keepNext w:val="0"/>
              <w:keepLines w:val="0"/>
              <w:pageBreakBefore w:val="0"/>
              <w:kinsoku/>
              <w:wordWrap/>
              <w:overflowPunct/>
              <w:topLinePunct w:val="0"/>
              <w:bidi w:val="0"/>
              <w:spacing w:line="360" w:lineRule="auto"/>
              <w:textAlignment w:val="auto"/>
              <w:rPr>
                <w:ins w:id="41" w:author="杨工" w:date="2026-08-10T11:48:20Z"/>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根据供应商提供的信息平台系统(含开发的APP小程序)进行评分，能够完全满足本项目服务要求的(员工档案、员工看板、任务看板、考勤轨迹打卡、绩效考核模板、薪酬计算规则、工资单呈现)满足3项的，得</w:t>
            </w:r>
            <w:ins w:id="42" w:author="杨工" w:date="2026-08-10T12:04:13Z">
              <w:r>
                <w:rPr>
                  <w:rFonts w:hint="eastAsia" w:ascii="宋体" w:hAnsi="宋体" w:cs="宋体"/>
                  <w:color w:val="auto"/>
                  <w:kern w:val="0"/>
                  <w:sz w:val="24"/>
                  <w:szCs w:val="24"/>
                  <w:highlight w:val="none"/>
                  <w:lang w:val="en-US" w:eastAsia="zh-CN"/>
                </w:rPr>
                <w:t>5</w:t>
              </w:r>
            </w:ins>
            <w:r>
              <w:rPr>
                <w:rFonts w:hint="eastAsia" w:ascii="宋体" w:hAnsi="宋体" w:eastAsia="宋体" w:cs="宋体"/>
                <w:color w:val="auto"/>
                <w:kern w:val="0"/>
                <w:sz w:val="24"/>
                <w:szCs w:val="24"/>
                <w:highlight w:val="none"/>
                <w:lang w:val="en-US" w:eastAsia="zh-CN"/>
              </w:rPr>
              <w:t>分;3(不含)-5项(含)得</w:t>
            </w:r>
            <w:ins w:id="43" w:author="杨工" w:date="2026-08-10T12:04:15Z">
              <w:r>
                <w:rPr>
                  <w:rFonts w:hint="eastAsia" w:ascii="宋体" w:hAnsi="宋体" w:cs="宋体"/>
                  <w:color w:val="auto"/>
                  <w:kern w:val="0"/>
                  <w:sz w:val="24"/>
                  <w:szCs w:val="24"/>
                  <w:highlight w:val="none"/>
                  <w:lang w:val="en-US" w:eastAsia="zh-CN"/>
                </w:rPr>
                <w:t>7</w:t>
              </w:r>
            </w:ins>
            <w:r>
              <w:rPr>
                <w:rFonts w:hint="eastAsia" w:ascii="宋体" w:hAnsi="宋体" w:eastAsia="宋体" w:cs="宋体"/>
                <w:color w:val="auto"/>
                <w:kern w:val="0"/>
                <w:sz w:val="24"/>
                <w:szCs w:val="24"/>
                <w:highlight w:val="none"/>
                <w:lang w:val="en-US" w:eastAsia="zh-CN"/>
              </w:rPr>
              <w:t>分;5项(不含)以上得1</w:t>
            </w:r>
            <w:ins w:id="44" w:author="杨工" w:date="2026-08-10T12:03:52Z">
              <w:r>
                <w:rPr>
                  <w:rFonts w:hint="eastAsia" w:ascii="宋体" w:hAnsi="宋体" w:cs="宋体"/>
                  <w:color w:val="auto"/>
                  <w:kern w:val="0"/>
                  <w:sz w:val="24"/>
                  <w:szCs w:val="24"/>
                  <w:highlight w:val="none"/>
                  <w:lang w:val="en-US" w:eastAsia="zh-CN"/>
                </w:rPr>
                <w:t>2</w:t>
              </w:r>
            </w:ins>
            <w:r>
              <w:rPr>
                <w:rFonts w:hint="eastAsia" w:ascii="宋体" w:hAnsi="宋体" w:eastAsia="宋体" w:cs="宋体"/>
                <w:color w:val="auto"/>
                <w:kern w:val="0"/>
                <w:sz w:val="24"/>
                <w:szCs w:val="24"/>
                <w:highlight w:val="none"/>
                <w:lang w:val="en-US" w:eastAsia="zh-CN"/>
              </w:rPr>
              <w:t>分。</w:t>
            </w:r>
          </w:p>
          <w:p w14:paraId="18F26041">
            <w:pPr>
              <w:keepNext w:val="0"/>
              <w:keepLines w:val="0"/>
              <w:pageBreakBefore w:val="0"/>
              <w:kinsoku/>
              <w:wordWrap/>
              <w:overflowPunct/>
              <w:topLinePunct w:val="0"/>
              <w:bidi w:val="0"/>
              <w:spacing w:line="360" w:lineRule="auto"/>
              <w:textAlignment w:val="auto"/>
              <w:rPr>
                <w:rFonts w:hint="default" w:ascii="宋体" w:hAnsi="宋体" w:eastAsia="宋体" w:cs="宋体"/>
                <w:color w:val="auto"/>
                <w:kern w:val="0"/>
                <w:sz w:val="24"/>
                <w:szCs w:val="24"/>
                <w:highlight w:val="none"/>
                <w:lang w:val="en-US" w:eastAsia="zh-CN"/>
              </w:rPr>
            </w:pPr>
            <w:ins w:id="45" w:author="杨工" w:date="2026-08-10T11:50:46Z">
              <w:r>
                <w:rPr>
                  <w:rStyle w:val="29"/>
                  <w:rFonts w:ascii="宋体" w:hAnsi="宋体" w:eastAsia="宋体" w:cs="宋体"/>
                  <w:b w:val="0"/>
                  <w:bCs w:val="0"/>
                  <w:color w:val="auto"/>
                  <w:sz w:val="24"/>
                  <w:szCs w:val="24"/>
                  <w:highlight w:val="none"/>
                </w:rPr>
                <w:t>注：</w:t>
              </w:r>
            </w:ins>
            <w:ins w:id="46" w:author="杨工" w:date="2026-08-10T11:50:46Z">
              <w:r>
                <w:rPr>
                  <w:rFonts w:ascii="宋体" w:hAnsi="宋体" w:eastAsia="宋体" w:cs="宋体"/>
                  <w:color w:val="auto"/>
                  <w:sz w:val="24"/>
                  <w:szCs w:val="24"/>
                  <w:highlight w:val="none"/>
                </w:rPr>
                <w:t>本项评审中，APP、小程序无论是否由供应商自行开发，均视为符合参评条件。</w:t>
              </w:r>
            </w:ins>
          </w:p>
        </w:tc>
        <w:tc>
          <w:tcPr>
            <w:tcW w:w="1157" w:type="pct"/>
            <w:tcBorders>
              <w:top w:val="single" w:color="auto" w:sz="4" w:space="0"/>
              <w:left w:val="single" w:color="auto" w:sz="4" w:space="0"/>
              <w:bottom w:val="single" w:color="auto" w:sz="4" w:space="0"/>
              <w:right w:val="single" w:color="auto" w:sz="4" w:space="0"/>
            </w:tcBorders>
            <w:noWrap w:val="0"/>
            <w:vAlign w:val="center"/>
          </w:tcPr>
          <w:p w14:paraId="5954DE13">
            <w:pPr>
              <w:keepNext w:val="0"/>
              <w:keepLines w:val="0"/>
              <w:pageBreakBefore w:val="0"/>
              <w:kinsoku/>
              <w:wordWrap/>
              <w:overflowPunct/>
              <w:topLinePunct w:val="0"/>
              <w:bidi w:val="0"/>
              <w:spacing w:line="360" w:lineRule="auto"/>
              <w:jc w:val="center"/>
              <w:textAlignment w:val="auto"/>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1</w:t>
            </w:r>
            <w:ins w:id="47" w:author="杨工" w:date="2026-08-10T12:03:53Z">
              <w:r>
                <w:rPr>
                  <w:rFonts w:hint="eastAsia" w:ascii="宋体" w:hAnsi="宋体" w:cs="宋体"/>
                  <w:color w:val="auto"/>
                  <w:kern w:val="0"/>
                  <w:sz w:val="24"/>
                  <w:szCs w:val="24"/>
                  <w:highlight w:val="none"/>
                  <w:lang w:val="en-US" w:eastAsia="zh-CN"/>
                </w:rPr>
                <w:t>2</w:t>
              </w:r>
            </w:ins>
            <w:r>
              <w:rPr>
                <w:rFonts w:hint="eastAsia" w:ascii="宋体" w:hAnsi="宋体" w:eastAsia="宋体" w:cs="宋体"/>
                <w:color w:val="auto"/>
                <w:kern w:val="0"/>
                <w:sz w:val="24"/>
                <w:szCs w:val="24"/>
                <w:highlight w:val="none"/>
                <w:lang w:val="en-US" w:eastAsia="zh-CN"/>
              </w:rPr>
              <w:t>分</w:t>
            </w:r>
          </w:p>
        </w:tc>
      </w:tr>
      <w:tr w14:paraId="30B7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94" w:type="pct"/>
            <w:tcBorders>
              <w:top w:val="single" w:color="auto" w:sz="4" w:space="0"/>
              <w:left w:val="single" w:color="auto" w:sz="4" w:space="0"/>
              <w:bottom w:val="single" w:color="auto" w:sz="4" w:space="0"/>
              <w:right w:val="single" w:color="auto" w:sz="4" w:space="0"/>
            </w:tcBorders>
            <w:noWrap w:val="0"/>
            <w:vAlign w:val="center"/>
          </w:tcPr>
          <w:p w14:paraId="0EFF88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价格分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10分</w:t>
            </w:r>
            <w:r>
              <w:rPr>
                <w:rFonts w:hint="eastAsia" w:ascii="宋体" w:hAnsi="宋体" w:cs="宋体"/>
                <w:color w:val="auto"/>
                <w:kern w:val="0"/>
                <w:sz w:val="24"/>
                <w:szCs w:val="24"/>
                <w:highlight w:val="none"/>
                <w:lang w:eastAsia="zh-CN"/>
              </w:rPr>
              <w:t>）</w:t>
            </w:r>
          </w:p>
        </w:tc>
        <w:tc>
          <w:tcPr>
            <w:tcW w:w="2748" w:type="pct"/>
            <w:tcBorders>
              <w:top w:val="single" w:color="auto" w:sz="4" w:space="0"/>
              <w:left w:val="single" w:color="auto" w:sz="4" w:space="0"/>
              <w:bottom w:val="single" w:color="auto" w:sz="4" w:space="0"/>
              <w:right w:val="single" w:color="auto" w:sz="4" w:space="0"/>
            </w:tcBorders>
            <w:noWrap w:val="0"/>
            <w:vAlign w:val="top"/>
          </w:tcPr>
          <w:p w14:paraId="0A1C43C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）评标基准价计算方法：以通过初步评审为所有合格供应商报价</w:t>
            </w:r>
            <w:r>
              <w:rPr>
                <w:rFonts w:hint="eastAsia" w:ascii="宋体" w:hAnsi="宋体" w:cs="宋体"/>
                <w:color w:val="auto"/>
                <w:kern w:val="0"/>
                <w:sz w:val="24"/>
                <w:szCs w:val="24"/>
                <w:highlight w:val="none"/>
                <w:lang w:val="en-US" w:eastAsia="zh-CN"/>
              </w:rPr>
              <w:t>总价</w:t>
            </w:r>
            <w:r>
              <w:rPr>
                <w:rFonts w:hint="eastAsia" w:ascii="宋体" w:hAnsi="宋体" w:eastAsia="宋体" w:cs="宋体"/>
                <w:color w:val="auto"/>
                <w:kern w:val="0"/>
                <w:sz w:val="24"/>
                <w:szCs w:val="24"/>
                <w:highlight w:val="none"/>
                <w:lang w:val="en-US" w:eastAsia="zh-CN"/>
              </w:rPr>
              <w:t>的算术平均值作为评审基准价。</w:t>
            </w:r>
          </w:p>
          <w:p w14:paraId="38C0C9A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）响应报价的偏差率计算方式：100%×（供应商报价－评审基准价）/评审基准价</w:t>
            </w:r>
          </w:p>
          <w:p w14:paraId="0EE9E61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供应商的响应报价每高于评审基准价的1%扣0.5分（E1值），每低于评审基准价的1%扣0.3分（E2值），偏差率中间值得分采取直线内插。扣完为止。</w:t>
            </w:r>
          </w:p>
          <w:p w14:paraId="5F828E7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注：小数点后保留不超过两位，报价得分最低为0分。</w:t>
            </w:r>
          </w:p>
        </w:tc>
        <w:tc>
          <w:tcPr>
            <w:tcW w:w="1157" w:type="pct"/>
            <w:tcBorders>
              <w:top w:val="single" w:color="auto" w:sz="4" w:space="0"/>
              <w:left w:val="single" w:color="auto" w:sz="4" w:space="0"/>
              <w:bottom w:val="single" w:color="auto" w:sz="4" w:space="0"/>
              <w:right w:val="single" w:color="auto" w:sz="4" w:space="0"/>
            </w:tcBorders>
            <w:noWrap w:val="0"/>
            <w:vAlign w:val="center"/>
          </w:tcPr>
          <w:p w14:paraId="7879E6F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0-1</w:t>
            </w:r>
            <w:r>
              <w:rPr>
                <w:rFonts w:hint="default"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p>
        </w:tc>
      </w:tr>
    </w:tbl>
    <w:p w14:paraId="7BE90334">
      <w:pPr>
        <w:spacing w:line="360" w:lineRule="auto"/>
        <w:ind w:firstLine="435"/>
        <w:rPr>
          <w:rFonts w:hint="eastAsia" w:ascii="宋体"/>
          <w:color w:val="auto"/>
          <w:sz w:val="24"/>
          <w:highlight w:val="none"/>
        </w:rPr>
      </w:pPr>
      <w:r>
        <w:rPr>
          <w:rFonts w:hint="eastAsia" w:ascii="宋体"/>
          <w:color w:val="auto"/>
          <w:sz w:val="24"/>
          <w:highlight w:val="none"/>
        </w:rPr>
        <w:t>2.</w:t>
      </w:r>
      <w:r>
        <w:rPr>
          <w:rFonts w:hint="eastAsia" w:ascii="宋体"/>
          <w:color w:val="auto"/>
          <w:sz w:val="24"/>
          <w:highlight w:val="none"/>
          <w:lang w:val="en-US" w:eastAsia="zh-CN"/>
        </w:rPr>
        <w:t>3</w:t>
      </w:r>
      <w:r>
        <w:rPr>
          <w:rFonts w:hint="eastAsia" w:ascii="宋体"/>
          <w:color w:val="auto"/>
          <w:sz w:val="24"/>
          <w:highlight w:val="none"/>
        </w:rPr>
        <w:t>.3分值汇总</w:t>
      </w:r>
    </w:p>
    <w:p w14:paraId="7F8541F2">
      <w:pPr>
        <w:spacing w:line="360" w:lineRule="auto"/>
        <w:ind w:firstLine="435"/>
        <w:rPr>
          <w:rFonts w:hint="eastAsia" w:ascii="宋体"/>
          <w:color w:val="auto"/>
          <w:sz w:val="24"/>
          <w:highlight w:val="none"/>
        </w:rPr>
      </w:pPr>
      <w:r>
        <w:rPr>
          <w:rFonts w:hint="eastAsia" w:ascii="宋体"/>
          <w:color w:val="auto"/>
          <w:sz w:val="24"/>
          <w:highlight w:val="none"/>
        </w:rPr>
        <w:t>（1）询比小组各成员应当独立对每个有效响应的文件进行评价、打分，然后汇总每个供应商每项评分因素的得分，再取各位</w:t>
      </w:r>
      <w:r>
        <w:rPr>
          <w:rFonts w:hint="eastAsia" w:ascii="宋体"/>
          <w:color w:val="auto"/>
          <w:sz w:val="24"/>
          <w:highlight w:val="none"/>
          <w:lang w:eastAsia="zh-CN"/>
        </w:rPr>
        <w:t>询比小组</w:t>
      </w:r>
      <w:r>
        <w:rPr>
          <w:rFonts w:hint="eastAsia" w:ascii="宋体"/>
          <w:color w:val="auto"/>
          <w:sz w:val="24"/>
          <w:highlight w:val="none"/>
        </w:rPr>
        <w:t>评分之平均值，四舍五入保留至小数点后两位数，得到该供应商的技术资信分。</w:t>
      </w:r>
    </w:p>
    <w:p w14:paraId="4A3CD1E8">
      <w:pPr>
        <w:spacing w:line="360" w:lineRule="auto"/>
        <w:ind w:firstLine="435"/>
        <w:outlineLvl w:val="9"/>
        <w:rPr>
          <w:rFonts w:hint="eastAsia" w:ascii="宋体" w:cs="宋体"/>
          <w:color w:val="auto"/>
          <w:sz w:val="24"/>
          <w:szCs w:val="24"/>
          <w:highlight w:val="none"/>
        </w:rPr>
      </w:pPr>
      <w:r>
        <w:rPr>
          <w:rFonts w:hint="eastAsia" w:ascii="宋体"/>
          <w:color w:val="auto"/>
          <w:sz w:val="24"/>
          <w:highlight w:val="none"/>
        </w:rPr>
        <w:t>（2）将每个供应商的技术资信分加上根据上述标准计算出的价格分，即为该供应商的综合总得分。</w:t>
      </w:r>
      <w:r>
        <w:rPr>
          <w:rFonts w:hint="eastAsia" w:ascii="宋体" w:cs="宋体"/>
          <w:color w:val="auto"/>
          <w:sz w:val="24"/>
          <w:szCs w:val="24"/>
          <w:highlight w:val="none"/>
        </w:rPr>
        <w:t>询比小组依据本项目询比文件所约定的评审方法和标准，按照有效供应商综合总得分由高到低依次推荐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。综合总得分出现两家或两家以上相同者，按最后报价由低到高排序推荐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；综合总得分且最后报价均相同的，由询比小组按照技术指标优劣顺序推荐</w:t>
      </w:r>
      <w:r>
        <w:rPr>
          <w:rFonts w:hint="eastAsia" w:ascii="宋体" w:cs="宋体"/>
          <w:color w:val="auto"/>
          <w:sz w:val="24"/>
          <w:szCs w:val="24"/>
          <w:highlight w:val="none"/>
          <w:lang w:eastAsia="zh-CN"/>
        </w:rPr>
        <w:t>成交候选人</w:t>
      </w:r>
      <w:r>
        <w:rPr>
          <w:rFonts w:hint="eastAsia" w:ascii="宋体" w:cs="宋体"/>
          <w:color w:val="auto"/>
          <w:sz w:val="24"/>
          <w:szCs w:val="24"/>
          <w:highlight w:val="none"/>
        </w:rPr>
        <w:t>。</w:t>
      </w:r>
    </w:p>
    <w:p w14:paraId="306E1382">
      <w:pPr>
        <w:spacing w:line="360" w:lineRule="auto"/>
        <w:ind w:firstLine="435"/>
        <w:rPr>
          <w:rFonts w:hint="eastAsia" w:ascii="宋体"/>
          <w:color w:val="auto"/>
          <w:sz w:val="24"/>
          <w:highlight w:val="none"/>
        </w:rPr>
      </w:pPr>
    </w:p>
    <w:p w14:paraId="40026D2C">
      <w:pPr>
        <w:widowControl/>
        <w:jc w:val="left"/>
        <w:rPr>
          <w:rFonts w:hint="eastAsia" w:ascii="宋体"/>
          <w:color w:val="auto"/>
          <w:sz w:val="24"/>
          <w:highlight w:val="none"/>
        </w:rPr>
      </w:pPr>
      <w:r>
        <w:rPr>
          <w:rFonts w:hint="eastAsia" w:ascii="宋体"/>
          <w:color w:val="auto"/>
          <w:sz w:val="24"/>
          <w:highlight w:val="none"/>
        </w:rPr>
        <w:br w:type="page"/>
      </w:r>
    </w:p>
    <w:p w14:paraId="638FCDB5">
      <w:pPr>
        <w:spacing w:line="360" w:lineRule="auto"/>
        <w:jc w:val="center"/>
        <w:outlineLvl w:val="0"/>
        <w:rPr>
          <w:rFonts w:hint="eastAsia" w:ascii="宋体"/>
          <w:b/>
          <w:color w:val="auto"/>
          <w:sz w:val="28"/>
          <w:highlight w:val="none"/>
        </w:rPr>
      </w:pPr>
      <w:bookmarkStart w:id="35" w:name="_Toc25676"/>
      <w:r>
        <w:rPr>
          <w:rFonts w:hint="eastAsia" w:ascii="宋体"/>
          <w:b/>
          <w:color w:val="auto"/>
          <w:sz w:val="28"/>
          <w:highlight w:val="none"/>
        </w:rPr>
        <w:t>第五章  采购合同</w:t>
      </w:r>
      <w:bookmarkEnd w:id="35"/>
    </w:p>
    <w:p w14:paraId="025BC95D">
      <w:pPr>
        <w:spacing w:line="480" w:lineRule="auto"/>
        <w:jc w:val="center"/>
        <w:rPr>
          <w:rFonts w:hint="eastAsia" w:ascii="宋体"/>
          <w:b/>
          <w:color w:val="auto"/>
          <w:sz w:val="24"/>
          <w:highlight w:val="none"/>
        </w:rPr>
      </w:pPr>
    </w:p>
    <w:p w14:paraId="56992CF1">
      <w:pPr>
        <w:spacing w:line="480" w:lineRule="auto"/>
        <w:jc w:val="center"/>
        <w:rPr>
          <w:rFonts w:hint="eastAsia" w:ascii="宋体"/>
          <w:b/>
          <w:color w:val="auto"/>
          <w:sz w:val="24"/>
          <w:highlight w:val="none"/>
        </w:rPr>
      </w:pPr>
    </w:p>
    <w:p w14:paraId="44495363">
      <w:pPr>
        <w:spacing w:line="480" w:lineRule="auto"/>
        <w:jc w:val="center"/>
        <w:outlineLvl w:val="9"/>
        <w:rPr>
          <w:rFonts w:hint="eastAsia" w:ascii="宋体"/>
          <w:b/>
          <w:color w:val="auto"/>
          <w:sz w:val="32"/>
          <w:szCs w:val="32"/>
          <w:highlight w:val="none"/>
        </w:rPr>
      </w:pPr>
      <w:r>
        <w:rPr>
          <w:rFonts w:hint="eastAsia" w:ascii="宋体"/>
          <w:b/>
          <w:color w:val="auto"/>
          <w:sz w:val="32"/>
          <w:szCs w:val="32"/>
          <w:highlight w:val="none"/>
        </w:rPr>
        <w:t>采购合同参考范本</w:t>
      </w:r>
    </w:p>
    <w:p w14:paraId="7D91AEA4">
      <w:pPr>
        <w:spacing w:line="480" w:lineRule="auto"/>
        <w:jc w:val="center"/>
        <w:outlineLvl w:val="9"/>
        <w:rPr>
          <w:rFonts w:hint="eastAsia" w:ascii="宋体"/>
          <w:bCs/>
          <w:i/>
          <w:iCs/>
          <w:color w:val="auto"/>
          <w:sz w:val="24"/>
          <w:szCs w:val="24"/>
          <w:highlight w:val="none"/>
        </w:rPr>
      </w:pPr>
      <w:r>
        <w:rPr>
          <w:rFonts w:hint="eastAsia" w:ascii="宋体"/>
          <w:bCs/>
          <w:i/>
          <w:iCs/>
          <w:color w:val="auto"/>
          <w:sz w:val="24"/>
          <w:szCs w:val="24"/>
          <w:highlight w:val="none"/>
        </w:rPr>
        <w:t>（合同范本仅供参考，以实际签约为准）</w:t>
      </w:r>
    </w:p>
    <w:p w14:paraId="62CC123E">
      <w:pPr>
        <w:spacing w:line="480" w:lineRule="auto"/>
        <w:jc w:val="center"/>
        <w:outlineLvl w:val="9"/>
        <w:rPr>
          <w:rFonts w:hint="eastAsia" w:ascii="宋体"/>
          <w:b/>
          <w:color w:val="auto"/>
          <w:sz w:val="32"/>
          <w:szCs w:val="32"/>
          <w:highlight w:val="none"/>
        </w:rPr>
      </w:pPr>
      <w:r>
        <w:rPr>
          <w:rFonts w:hint="eastAsia" w:ascii="宋体"/>
          <w:b/>
          <w:color w:val="auto"/>
          <w:sz w:val="32"/>
          <w:szCs w:val="32"/>
          <w:highlight w:val="none"/>
        </w:rPr>
        <w:t>（</w:t>
      </w:r>
      <w:r>
        <w:rPr>
          <w:rFonts w:hint="eastAsia" w:ascii="宋体"/>
          <w:b/>
          <w:color w:val="auto"/>
          <w:sz w:val="32"/>
          <w:szCs w:val="32"/>
          <w:highlight w:val="none"/>
          <w:lang w:eastAsia="zh-CN"/>
        </w:rPr>
        <w:t>服务</w:t>
      </w:r>
      <w:r>
        <w:rPr>
          <w:rFonts w:hint="eastAsia" w:ascii="宋体"/>
          <w:b/>
          <w:color w:val="auto"/>
          <w:sz w:val="32"/>
          <w:szCs w:val="32"/>
          <w:highlight w:val="none"/>
        </w:rPr>
        <w:t>类）</w:t>
      </w:r>
    </w:p>
    <w:p w14:paraId="0173019A">
      <w:pPr>
        <w:spacing w:line="480" w:lineRule="auto"/>
        <w:jc w:val="center"/>
        <w:outlineLvl w:val="9"/>
        <w:rPr>
          <w:rFonts w:hint="eastAsia" w:ascii="宋体"/>
          <w:b/>
          <w:color w:val="auto"/>
          <w:sz w:val="24"/>
          <w:highlight w:val="none"/>
        </w:rPr>
      </w:pPr>
    </w:p>
    <w:p w14:paraId="56A469BD">
      <w:pPr>
        <w:spacing w:line="480" w:lineRule="auto"/>
        <w:jc w:val="center"/>
        <w:outlineLvl w:val="9"/>
        <w:rPr>
          <w:rFonts w:hint="eastAsia" w:ascii="宋体"/>
          <w:b/>
          <w:color w:val="auto"/>
          <w:sz w:val="24"/>
          <w:highlight w:val="none"/>
        </w:rPr>
      </w:pPr>
    </w:p>
    <w:p w14:paraId="52324EB7">
      <w:pPr>
        <w:spacing w:line="480" w:lineRule="auto"/>
        <w:jc w:val="center"/>
        <w:outlineLvl w:val="9"/>
        <w:rPr>
          <w:rFonts w:hint="eastAsia" w:ascii="宋体"/>
          <w:b/>
          <w:color w:val="auto"/>
          <w:sz w:val="24"/>
          <w:highlight w:val="none"/>
        </w:rPr>
      </w:pPr>
    </w:p>
    <w:p w14:paraId="1A1A8006">
      <w:pPr>
        <w:spacing w:line="360" w:lineRule="auto"/>
        <w:jc w:val="center"/>
        <w:outlineLvl w:val="9"/>
        <w:rPr>
          <w:rFonts w:hint="eastAsia" w:ascii="宋体"/>
          <w:b/>
          <w:color w:val="auto"/>
          <w:sz w:val="24"/>
          <w:highlight w:val="none"/>
        </w:rPr>
      </w:pPr>
      <w:r>
        <w:rPr>
          <w:rFonts w:hint="eastAsia" w:ascii="宋体"/>
          <w:b/>
          <w:color w:val="auto"/>
          <w:sz w:val="24"/>
          <w:highlight w:val="none"/>
        </w:rPr>
        <w:t>第一部分 合同书</w:t>
      </w:r>
    </w:p>
    <w:p w14:paraId="7386C355">
      <w:pPr>
        <w:spacing w:line="480" w:lineRule="auto"/>
        <w:jc w:val="center"/>
        <w:outlineLvl w:val="9"/>
        <w:rPr>
          <w:rFonts w:hint="eastAsia" w:ascii="宋体"/>
          <w:b/>
          <w:color w:val="auto"/>
          <w:sz w:val="24"/>
          <w:highlight w:val="none"/>
        </w:rPr>
      </w:pPr>
    </w:p>
    <w:p w14:paraId="0C55C094">
      <w:pPr>
        <w:spacing w:line="480" w:lineRule="auto"/>
        <w:jc w:val="center"/>
        <w:outlineLvl w:val="9"/>
        <w:rPr>
          <w:rFonts w:hint="eastAsia" w:ascii="宋体"/>
          <w:b/>
          <w:color w:val="auto"/>
          <w:sz w:val="24"/>
          <w:highlight w:val="none"/>
        </w:rPr>
      </w:pPr>
    </w:p>
    <w:p w14:paraId="49042563">
      <w:pPr>
        <w:spacing w:line="480" w:lineRule="auto"/>
        <w:jc w:val="center"/>
        <w:outlineLvl w:val="9"/>
        <w:rPr>
          <w:rFonts w:hint="eastAsia" w:ascii="宋体"/>
          <w:b/>
          <w:color w:val="auto"/>
          <w:sz w:val="24"/>
          <w:highlight w:val="none"/>
        </w:rPr>
      </w:pPr>
    </w:p>
    <w:p w14:paraId="50825023">
      <w:pPr>
        <w:spacing w:before="120" w:line="480" w:lineRule="auto"/>
        <w:ind w:left="960"/>
        <w:outlineLvl w:val="9"/>
        <w:rPr>
          <w:rFonts w:hint="eastAsia" w:ascii="宋体"/>
          <w:color w:val="auto"/>
          <w:sz w:val="24"/>
          <w:highlight w:val="none"/>
          <w:u w:val="single"/>
          <w:lang w:eastAsia="zh-CN"/>
        </w:rPr>
      </w:pPr>
      <w:r>
        <w:rPr>
          <w:rFonts w:hint="eastAsia" w:ascii="宋体"/>
          <w:color w:val="auto"/>
          <w:sz w:val="24"/>
          <w:highlight w:val="none"/>
        </w:rPr>
        <w:t>项目名称：</w:t>
      </w:r>
      <w:r>
        <w:rPr>
          <w:rFonts w:hint="eastAsia" w:ascii="宋体"/>
          <w:color w:val="auto"/>
          <w:sz w:val="24"/>
          <w:highlight w:val="none"/>
          <w:u w:val="single"/>
          <w:lang w:eastAsia="zh-CN"/>
        </w:rPr>
        <w:t>安徽环境新安江生态科技有限公司劳务外包服务项目（二次）</w:t>
      </w:r>
    </w:p>
    <w:p w14:paraId="401B77A5">
      <w:pPr>
        <w:spacing w:before="120" w:line="480" w:lineRule="auto"/>
        <w:ind w:left="960"/>
        <w:outlineLvl w:val="9"/>
        <w:rPr>
          <w:rFonts w:hint="eastAsia" w:ascii="宋体" w:eastAsia="宋体"/>
          <w:color w:val="auto"/>
          <w:sz w:val="24"/>
          <w:highlight w:val="none"/>
          <w:lang w:eastAsia="zh-CN"/>
        </w:rPr>
      </w:pPr>
      <w:r>
        <w:rPr>
          <w:rFonts w:hint="eastAsia" w:ascii="宋体"/>
          <w:color w:val="auto"/>
          <w:sz w:val="24"/>
          <w:highlight w:val="none"/>
        </w:rPr>
        <w:t>项目编号：</w:t>
      </w:r>
      <w:r>
        <w:rPr>
          <w:rFonts w:hint="eastAsia" w:ascii="宋体"/>
          <w:color w:val="auto"/>
          <w:sz w:val="24"/>
          <w:highlight w:val="none"/>
          <w:u w:val="single"/>
          <w:lang w:eastAsia="zh-CN"/>
        </w:rPr>
        <w:t>GDXG-2026CG025301</w:t>
      </w:r>
    </w:p>
    <w:p w14:paraId="31B7FA95">
      <w:pPr>
        <w:spacing w:before="120" w:line="480" w:lineRule="auto"/>
        <w:ind w:left="960"/>
        <w:outlineLvl w:val="9"/>
        <w:rPr>
          <w:rFonts w:hint="eastAsia" w:ascii="宋体"/>
          <w:color w:val="auto"/>
          <w:sz w:val="24"/>
          <w:highlight w:val="none"/>
          <w:u w:val="single"/>
          <w:lang w:val="en-US" w:eastAsia="zh-CN"/>
        </w:rPr>
      </w:pPr>
      <w:r>
        <w:rPr>
          <w:rFonts w:hint="eastAsia" w:ascii="宋体"/>
          <w:color w:val="auto"/>
          <w:sz w:val="24"/>
          <w:highlight w:val="none"/>
        </w:rPr>
        <w:t>甲方（采购人）：</w:t>
      </w:r>
      <w:r>
        <w:rPr>
          <w:rFonts w:hint="eastAsia" w:ascii="宋体"/>
          <w:color w:val="auto"/>
          <w:sz w:val="24"/>
          <w:highlight w:val="none"/>
          <w:u w:val="single"/>
          <w:lang w:val="en-US" w:eastAsia="zh-CN"/>
        </w:rPr>
        <w:t xml:space="preserve">        安徽环境新安江生态科技有限公司                       </w:t>
      </w:r>
    </w:p>
    <w:p w14:paraId="41013063">
      <w:pPr>
        <w:spacing w:before="120" w:line="480" w:lineRule="auto"/>
        <w:ind w:left="960"/>
        <w:outlineLvl w:val="9"/>
        <w:rPr>
          <w:rFonts w:hint="eastAsia" w:ascii="宋体"/>
          <w:color w:val="auto"/>
          <w:sz w:val="24"/>
          <w:highlight w:val="none"/>
          <w:u w:val="single"/>
        </w:rPr>
      </w:pPr>
      <w:r>
        <w:rPr>
          <w:rFonts w:hint="eastAsia" w:ascii="宋体"/>
          <w:color w:val="auto"/>
          <w:sz w:val="24"/>
          <w:highlight w:val="none"/>
        </w:rPr>
        <w:t>乙方（</w:t>
      </w:r>
      <w:r>
        <w:rPr>
          <w:rFonts w:hint="eastAsia" w:ascii="宋体"/>
          <w:color w:val="auto"/>
          <w:sz w:val="24"/>
          <w:highlight w:val="none"/>
          <w:lang w:eastAsia="zh-CN"/>
        </w:rPr>
        <w:t>成交供应商</w:t>
      </w:r>
      <w:r>
        <w:rPr>
          <w:rFonts w:hint="eastAsia" w:ascii="宋体"/>
          <w:color w:val="auto"/>
          <w:sz w:val="24"/>
          <w:highlight w:val="none"/>
        </w:rPr>
        <w:t>）：</w:t>
      </w:r>
      <w:r>
        <w:rPr>
          <w:rFonts w:hint="eastAsia" w:ascii="宋体"/>
          <w:color w:val="auto"/>
          <w:sz w:val="24"/>
          <w:highlight w:val="none"/>
          <w:u w:val="single"/>
        </w:rPr>
        <w:t xml:space="preserve">                              </w:t>
      </w:r>
    </w:p>
    <w:p w14:paraId="4D706C66">
      <w:pPr>
        <w:spacing w:before="120" w:line="480" w:lineRule="auto"/>
        <w:ind w:firstLine="960" w:firstLineChars="400"/>
        <w:outlineLvl w:val="9"/>
        <w:rPr>
          <w:rFonts w:hint="eastAsia" w:ascii="宋体"/>
          <w:color w:val="auto"/>
          <w:sz w:val="24"/>
          <w:highlight w:val="none"/>
          <w:u w:val="single"/>
        </w:rPr>
      </w:pPr>
      <w:r>
        <w:rPr>
          <w:rFonts w:hint="eastAsia" w:ascii="宋体"/>
          <w:color w:val="auto"/>
          <w:sz w:val="24"/>
          <w:highlight w:val="none"/>
        </w:rPr>
        <w:t>签订地：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安徽黄山市屯溪区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p>
    <w:p w14:paraId="34CC6784">
      <w:pPr>
        <w:spacing w:before="120" w:line="480" w:lineRule="auto"/>
        <w:ind w:firstLine="960" w:firstLineChars="400"/>
        <w:outlineLvl w:val="9"/>
        <w:rPr>
          <w:rFonts w:hint="eastAsia" w:ascii="宋体"/>
          <w:color w:val="auto"/>
          <w:sz w:val="24"/>
          <w:highlight w:val="none"/>
        </w:rPr>
      </w:pPr>
      <w:r>
        <w:rPr>
          <w:rFonts w:hint="eastAsia" w:ascii="宋体"/>
          <w:color w:val="auto"/>
          <w:sz w:val="24"/>
          <w:highlight w:val="none"/>
        </w:rPr>
        <w:t>签订日期：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6FC0555">
      <w:pPr>
        <w:widowControl/>
        <w:jc w:val="left"/>
        <w:outlineLvl w:val="9"/>
        <w:rPr>
          <w:rFonts w:hint="eastAsia" w:ascii="宋体"/>
          <w:color w:val="auto"/>
          <w:sz w:val="24"/>
          <w:highlight w:val="none"/>
        </w:rPr>
      </w:pPr>
      <w:r>
        <w:rPr>
          <w:rFonts w:hint="eastAsia" w:ascii="宋体"/>
          <w:color w:val="auto"/>
          <w:sz w:val="24"/>
          <w:highlight w:val="none"/>
        </w:rPr>
        <w:br w:type="page"/>
      </w:r>
    </w:p>
    <w:p w14:paraId="4126AC59">
      <w:pPr>
        <w:spacing w:line="360" w:lineRule="auto"/>
        <w:ind w:firstLine="435"/>
        <w:outlineLvl w:val="9"/>
        <w:rPr>
          <w:rFonts w:hint="eastAsia" w:ascii="宋体"/>
          <w:color w:val="auto"/>
          <w:sz w:val="24"/>
          <w:highlight w:val="none"/>
        </w:rPr>
      </w:pPr>
      <w:r>
        <w:rPr>
          <w:rFonts w:hint="eastAsia" w:ascii="宋体"/>
          <w:color w:val="auto"/>
          <w:sz w:val="24"/>
          <w:highlight w:val="none"/>
          <w:u w:val="single"/>
          <w:lang w:eastAsia="zh-CN"/>
        </w:rPr>
        <w:t>安徽环境新安江生态科技有限公司</w:t>
      </w:r>
      <w:r>
        <w:rPr>
          <w:rFonts w:hint="eastAsia" w:ascii="宋体"/>
          <w:color w:val="auto"/>
          <w:sz w:val="24"/>
          <w:highlight w:val="none"/>
        </w:rPr>
        <w:t>（</w:t>
      </w:r>
      <w:r>
        <w:rPr>
          <w:rFonts w:hint="eastAsia" w:ascii="宋体"/>
          <w:color w:val="auto"/>
          <w:sz w:val="24"/>
          <w:highlight w:val="none"/>
          <w:lang w:val="zh-CN"/>
        </w:rPr>
        <w:t>以下简称：甲方</w:t>
      </w:r>
      <w:r>
        <w:rPr>
          <w:rFonts w:hint="eastAsia" w:ascii="宋体"/>
          <w:color w:val="auto"/>
          <w:sz w:val="24"/>
          <w:highlight w:val="none"/>
        </w:rPr>
        <w:t>）通过</w:t>
      </w:r>
      <w:r>
        <w:rPr>
          <w:rFonts w:hint="eastAsia" w:ascii="宋体"/>
          <w:color w:val="auto"/>
          <w:sz w:val="24"/>
          <w:highlight w:val="none"/>
          <w:u w:val="single"/>
        </w:rPr>
        <w:t>安徽广电项目管理有限公司</w:t>
      </w:r>
      <w:r>
        <w:rPr>
          <w:rFonts w:hint="eastAsia" w:ascii="宋体"/>
          <w:color w:val="auto"/>
          <w:sz w:val="24"/>
          <w:highlight w:val="none"/>
        </w:rPr>
        <w:t>组织的</w:t>
      </w:r>
      <w:r>
        <w:rPr>
          <w:rFonts w:hint="eastAsia" w:ascii="宋体"/>
          <w:color w:val="auto"/>
          <w:sz w:val="24"/>
          <w:highlight w:val="none"/>
          <w:u w:val="single"/>
        </w:rPr>
        <w:t xml:space="preserve"> 询比 </w:t>
      </w:r>
      <w:r>
        <w:rPr>
          <w:rFonts w:hint="eastAsia" w:ascii="宋体"/>
          <w:color w:val="auto"/>
          <w:sz w:val="24"/>
          <w:highlight w:val="none"/>
        </w:rPr>
        <w:t>方式采购活动，经</w:t>
      </w:r>
      <w:r>
        <w:rPr>
          <w:rFonts w:hint="eastAsia" w:ascii="宋体"/>
          <w:color w:val="auto"/>
          <w:sz w:val="24"/>
          <w:highlight w:val="none"/>
          <w:u w:val="single"/>
        </w:rPr>
        <w:t>询比小组</w:t>
      </w:r>
      <w:r>
        <w:rPr>
          <w:rFonts w:hint="eastAsia" w:ascii="宋体"/>
          <w:color w:val="auto"/>
          <w:sz w:val="24"/>
          <w:highlight w:val="none"/>
        </w:rPr>
        <w:t>评定，</w:t>
      </w:r>
      <w:r>
        <w:rPr>
          <w:rFonts w:hint="eastAsia" w:ascii="宋体"/>
          <w:i/>
          <w:iCs/>
          <w:color w:val="auto"/>
          <w:sz w:val="24"/>
          <w:highlight w:val="none"/>
          <w:u w:val="single"/>
        </w:rPr>
        <w:t>（</w:t>
      </w:r>
      <w:r>
        <w:rPr>
          <w:rFonts w:hint="eastAsia" w:ascii="宋体"/>
          <w:i/>
          <w:iCs/>
          <w:color w:val="auto"/>
          <w:sz w:val="24"/>
          <w:highlight w:val="none"/>
          <w:u w:val="single"/>
          <w:lang w:eastAsia="zh-CN"/>
        </w:rPr>
        <w:t>成交供应商</w:t>
      </w:r>
      <w:r>
        <w:rPr>
          <w:rFonts w:hint="eastAsia" w:ascii="宋体"/>
          <w:i/>
          <w:iCs/>
          <w:color w:val="auto"/>
          <w:sz w:val="24"/>
          <w:highlight w:val="none"/>
          <w:u w:val="single"/>
        </w:rPr>
        <w:t>名称）</w:t>
      </w:r>
      <w:r>
        <w:rPr>
          <w:rFonts w:hint="eastAsia" w:ascii="宋体"/>
          <w:color w:val="auto"/>
          <w:sz w:val="24"/>
          <w:highlight w:val="none"/>
        </w:rPr>
        <w:t>（</w:t>
      </w:r>
      <w:r>
        <w:rPr>
          <w:rFonts w:hint="eastAsia" w:ascii="宋体"/>
          <w:color w:val="auto"/>
          <w:sz w:val="24"/>
          <w:highlight w:val="none"/>
          <w:lang w:val="zh-CN"/>
        </w:rPr>
        <w:t>以下简称：乙方</w:t>
      </w:r>
      <w:r>
        <w:rPr>
          <w:rFonts w:hint="eastAsia" w:ascii="宋体"/>
          <w:color w:val="auto"/>
          <w:sz w:val="24"/>
          <w:highlight w:val="none"/>
        </w:rPr>
        <w:t>）为本项目</w:t>
      </w:r>
      <w:r>
        <w:rPr>
          <w:rFonts w:hint="eastAsia" w:ascii="宋体"/>
          <w:color w:val="auto"/>
          <w:sz w:val="24"/>
          <w:highlight w:val="none"/>
          <w:lang w:eastAsia="zh-CN"/>
        </w:rPr>
        <w:t>成交供应商</w:t>
      </w:r>
      <w:r>
        <w:rPr>
          <w:rFonts w:hint="eastAsia" w:ascii="宋体"/>
          <w:color w:val="auto"/>
          <w:sz w:val="24"/>
          <w:highlight w:val="none"/>
        </w:rPr>
        <w:t>，现按照</w:t>
      </w:r>
      <w:r>
        <w:rPr>
          <w:rFonts w:hint="eastAsia" w:ascii="宋体"/>
          <w:color w:val="auto"/>
          <w:sz w:val="24"/>
          <w:highlight w:val="none"/>
          <w:lang w:eastAsia="zh-CN"/>
        </w:rPr>
        <w:t>询比文件</w:t>
      </w:r>
      <w:r>
        <w:rPr>
          <w:rFonts w:hint="eastAsia" w:ascii="宋体"/>
          <w:color w:val="auto"/>
          <w:sz w:val="24"/>
          <w:highlight w:val="none"/>
        </w:rPr>
        <w:t>确定的事项签订本合同。</w:t>
      </w:r>
    </w:p>
    <w:p w14:paraId="0032B9E2">
      <w:pPr>
        <w:spacing w:line="360" w:lineRule="auto"/>
        <w:ind w:firstLine="435"/>
        <w:outlineLvl w:val="9"/>
        <w:rPr>
          <w:rFonts w:hint="eastAsia" w:ascii="宋体"/>
          <w:color w:val="auto"/>
          <w:sz w:val="24"/>
          <w:highlight w:val="none"/>
          <w:lang w:val="zh-CN"/>
        </w:rPr>
      </w:pPr>
      <w:r>
        <w:rPr>
          <w:rFonts w:hint="eastAsia" w:ascii="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42CA6B31">
      <w:pPr>
        <w:spacing w:line="360" w:lineRule="auto"/>
        <w:ind w:firstLine="437"/>
        <w:outlineLvl w:val="9"/>
        <w:rPr>
          <w:rFonts w:ascii="宋体" w:hAnsi="宋体" w:cs="@仿宋_GB2312"/>
          <w:b/>
          <w:bCs/>
          <w:color w:val="auto"/>
          <w:sz w:val="24"/>
          <w:szCs w:val="20"/>
          <w:highlight w:val="none"/>
          <w:lang w:val="zh-CN"/>
        </w:rPr>
      </w:pPr>
      <w:bookmarkStart w:id="36" w:name="_Toc2232"/>
      <w:bookmarkStart w:id="37" w:name="_Toc3029"/>
      <w:bookmarkStart w:id="38" w:name="_Toc24059"/>
      <w:r>
        <w:rPr>
          <w:rFonts w:hint="eastAsia" w:ascii="宋体" w:hAnsi="宋体" w:cs="@仿宋_GB2312"/>
          <w:b/>
          <w:bCs/>
          <w:color w:val="auto"/>
          <w:sz w:val="24"/>
          <w:szCs w:val="20"/>
          <w:highlight w:val="none"/>
          <w:lang w:val="zh-CN"/>
        </w:rPr>
        <w:t>1.1</w:t>
      </w:r>
      <w:r>
        <w:rPr>
          <w:rFonts w:ascii="宋体" w:hAnsi="宋体" w:cs="@仿宋_GB2312"/>
          <w:b/>
          <w:bCs/>
          <w:color w:val="auto"/>
          <w:sz w:val="24"/>
          <w:szCs w:val="20"/>
          <w:highlight w:val="none"/>
          <w:lang w:val="zh-CN"/>
        </w:rPr>
        <w:t xml:space="preserve"> </w:t>
      </w:r>
      <w:r>
        <w:rPr>
          <w:rFonts w:hint="eastAsia" w:ascii="宋体" w:hAnsi="宋体" w:cs="@仿宋_GB2312"/>
          <w:b/>
          <w:bCs/>
          <w:color w:val="auto"/>
          <w:sz w:val="24"/>
          <w:szCs w:val="20"/>
          <w:highlight w:val="none"/>
          <w:lang w:val="zh-CN"/>
        </w:rPr>
        <w:t>合同组成部分</w:t>
      </w:r>
    </w:p>
    <w:p w14:paraId="37535C26">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7C4A1110">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1.1.1本合同及其补充合同、变更协议；</w:t>
      </w:r>
    </w:p>
    <w:p w14:paraId="34071548">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1.1.2成交通知书；</w:t>
      </w:r>
    </w:p>
    <w:p w14:paraId="306452F3">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1.1.3响应文件（含澄清或者说明文件）；</w:t>
      </w:r>
    </w:p>
    <w:p w14:paraId="12D37A72">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1.1.4采购文件（含澄清或者修改文件）；</w:t>
      </w:r>
    </w:p>
    <w:p w14:paraId="1C975496">
      <w:pPr>
        <w:spacing w:line="360" w:lineRule="auto"/>
        <w:ind w:firstLine="435"/>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1.1.5其他相关采购文件。</w:t>
      </w:r>
    </w:p>
    <w:p w14:paraId="33414C5D">
      <w:pPr>
        <w:spacing w:line="360" w:lineRule="auto"/>
        <w:ind w:firstLine="437"/>
        <w:outlineLvl w:val="9"/>
        <w:rPr>
          <w:rFonts w:ascii="宋体" w:hAnsi="宋体" w:cs="@仿宋_GB2312"/>
          <w:b/>
          <w:bCs/>
          <w:color w:val="auto"/>
          <w:sz w:val="24"/>
          <w:szCs w:val="20"/>
          <w:highlight w:val="none"/>
          <w:lang w:val="zh-CN"/>
        </w:rPr>
      </w:pPr>
      <w:bookmarkStart w:id="39" w:name="_Toc6311"/>
      <w:bookmarkStart w:id="40" w:name="_Toc22185"/>
      <w:bookmarkStart w:id="41" w:name="_Toc6773"/>
      <w:bookmarkStart w:id="42" w:name="_Toc2918"/>
      <w:bookmarkStart w:id="43" w:name="_Toc18585"/>
      <w:r>
        <w:rPr>
          <w:rFonts w:hint="eastAsia" w:ascii="宋体" w:hAnsi="宋体" w:cs="@仿宋_GB2312"/>
          <w:b/>
          <w:bCs/>
          <w:color w:val="auto"/>
          <w:sz w:val="24"/>
          <w:szCs w:val="20"/>
          <w:highlight w:val="none"/>
          <w:lang w:val="zh-CN"/>
        </w:rPr>
        <w:t xml:space="preserve">1.2 </w:t>
      </w:r>
      <w:bookmarkEnd w:id="39"/>
      <w:bookmarkEnd w:id="40"/>
      <w:bookmarkEnd w:id="41"/>
      <w:bookmarkEnd w:id="42"/>
      <w:bookmarkEnd w:id="43"/>
      <w:r>
        <w:rPr>
          <w:rFonts w:hint="eastAsia" w:ascii="宋体" w:hAnsi="宋体" w:cs="@仿宋_GB2312"/>
          <w:b/>
          <w:bCs/>
          <w:color w:val="auto"/>
          <w:sz w:val="24"/>
          <w:szCs w:val="20"/>
          <w:highlight w:val="none"/>
          <w:lang w:val="zh-CN"/>
        </w:rPr>
        <w:t>服务</w:t>
      </w:r>
    </w:p>
    <w:p w14:paraId="6C038798">
      <w:pPr>
        <w:spacing w:line="360" w:lineRule="auto"/>
        <w:ind w:firstLine="435"/>
        <w:outlineLvl w:val="9"/>
        <w:rPr>
          <w:rFonts w:ascii="宋体" w:hAnsi="宋体" w:cs="@仿宋_GB2312"/>
          <w:color w:val="auto"/>
          <w:sz w:val="24"/>
          <w:szCs w:val="20"/>
          <w:highlight w:val="none"/>
          <w:u w:val="single"/>
        </w:rPr>
      </w:pPr>
      <w:r>
        <w:rPr>
          <w:rFonts w:hint="eastAsia" w:ascii="宋体" w:hAnsi="宋体" w:cs="@仿宋_GB2312"/>
          <w:color w:val="auto"/>
          <w:sz w:val="24"/>
          <w:szCs w:val="20"/>
          <w:highlight w:val="none"/>
        </w:rPr>
        <w:t>1.2.1服务</w:t>
      </w:r>
      <w:r>
        <w:rPr>
          <w:rFonts w:ascii="宋体" w:hAnsi="宋体" w:cs="@仿宋_GB2312"/>
          <w:color w:val="auto"/>
          <w:sz w:val="24"/>
          <w:szCs w:val="20"/>
          <w:highlight w:val="none"/>
        </w:rPr>
        <w:t>名称：</w:t>
      </w:r>
      <w:r>
        <w:rPr>
          <w:rFonts w:hint="eastAsia" w:ascii="宋体" w:hAnsi="宋体" w:cs="@仿宋_GB2312"/>
          <w:color w:val="auto"/>
          <w:sz w:val="24"/>
          <w:szCs w:val="20"/>
          <w:highlight w:val="none"/>
          <w:lang w:eastAsia="zh-CN"/>
        </w:rPr>
        <w:t>安徽环境新安江生态科技有限公司劳务外包服务项目（二次）</w:t>
      </w:r>
      <w:r>
        <w:rPr>
          <w:rFonts w:hint="eastAsia" w:ascii="宋体" w:hAnsi="宋体" w:cs="@仿宋_GB2312"/>
          <w:color w:val="auto"/>
          <w:sz w:val="24"/>
          <w:szCs w:val="20"/>
          <w:highlight w:val="none"/>
        </w:rPr>
        <w:t>；</w:t>
      </w:r>
    </w:p>
    <w:p w14:paraId="3BFB565A">
      <w:pPr>
        <w:spacing w:line="360" w:lineRule="auto"/>
        <w:ind w:firstLine="435"/>
        <w:outlineLvl w:val="9"/>
        <w:rPr>
          <w:rFonts w:ascii="宋体" w:hAnsi="宋体" w:cs="@仿宋_GB2312"/>
          <w:color w:val="auto"/>
          <w:sz w:val="24"/>
          <w:szCs w:val="20"/>
          <w:highlight w:val="none"/>
          <w:u w:val="single"/>
        </w:rPr>
      </w:pPr>
      <w:r>
        <w:rPr>
          <w:rFonts w:hint="eastAsia" w:ascii="宋体" w:hAnsi="宋体" w:cs="@仿宋_GB2312"/>
          <w:color w:val="auto"/>
          <w:sz w:val="24"/>
          <w:szCs w:val="20"/>
          <w:highlight w:val="none"/>
        </w:rPr>
        <w:t>1.2.2服务内容</w:t>
      </w:r>
      <w:r>
        <w:rPr>
          <w:rFonts w:ascii="宋体" w:hAnsi="宋体" w:cs="@仿宋_GB2312"/>
          <w:color w:val="auto"/>
          <w:sz w:val="24"/>
          <w:szCs w:val="20"/>
          <w:highlight w:val="none"/>
        </w:rPr>
        <w:t>：</w:t>
      </w:r>
      <w:r>
        <w:rPr>
          <w:rFonts w:hint="eastAsia" w:ascii="宋体" w:hAnsi="宋体" w:cs="@仿宋_GB2312"/>
          <w:color w:val="auto"/>
          <w:sz w:val="24"/>
          <w:szCs w:val="20"/>
          <w:highlight w:val="none"/>
          <w:lang w:eastAsia="zh-CN"/>
        </w:rPr>
        <w:t>安徽环境新安江生态科技有限公司劳务外包服务项目（二次），</w:t>
      </w:r>
      <w:r>
        <w:rPr>
          <w:rFonts w:hint="eastAsia" w:ascii="宋体" w:hAnsi="宋体" w:cs="@仿宋_GB2312"/>
          <w:color w:val="auto"/>
          <w:sz w:val="24"/>
          <w:szCs w:val="20"/>
          <w:highlight w:val="none"/>
        </w:rPr>
        <w:t>具体服务内容以采购需求为准；</w:t>
      </w:r>
    </w:p>
    <w:p w14:paraId="0585A748">
      <w:pPr>
        <w:spacing w:line="360" w:lineRule="auto"/>
        <w:ind w:firstLine="435"/>
        <w:outlineLvl w:val="9"/>
        <w:rPr>
          <w:ins w:id="48" w:author="杨工" w:date="2026-08-12T15:41:51Z"/>
          <w:rFonts w:hint="eastAsia" w:ascii="宋体" w:hAnsi="宋体" w:cs="@仿宋_GB2312"/>
          <w:color w:val="auto"/>
          <w:sz w:val="24"/>
          <w:szCs w:val="20"/>
          <w:highlight w:val="none"/>
        </w:rPr>
      </w:pPr>
      <w:r>
        <w:rPr>
          <w:rFonts w:hint="eastAsia" w:ascii="宋体" w:hAnsi="宋体" w:cs="@仿宋_GB2312"/>
          <w:color w:val="auto"/>
          <w:sz w:val="24"/>
          <w:szCs w:val="20"/>
          <w:highlight w:val="none"/>
        </w:rPr>
        <w:t>1.2.3服务质量：</w:t>
      </w:r>
      <w:r>
        <w:rPr>
          <w:rFonts w:hint="eastAsia" w:ascii="宋体" w:hAnsi="宋体" w:eastAsia="宋体" w:cs="@仿宋_GB2312"/>
          <w:color w:val="auto"/>
          <w:sz w:val="24"/>
          <w:szCs w:val="20"/>
          <w:highlight w:val="none"/>
        </w:rPr>
        <w:t>合格</w:t>
      </w:r>
      <w:r>
        <w:rPr>
          <w:rFonts w:hint="eastAsia" w:ascii="宋体" w:hAnsi="宋体" w:cs="@仿宋_GB2312"/>
          <w:color w:val="auto"/>
          <w:sz w:val="24"/>
          <w:szCs w:val="20"/>
          <w:highlight w:val="none"/>
        </w:rPr>
        <w:t>。</w:t>
      </w:r>
    </w:p>
    <w:p w14:paraId="25D3D558">
      <w:pPr>
        <w:spacing w:line="360" w:lineRule="auto"/>
        <w:ind w:firstLine="437"/>
        <w:outlineLvl w:val="9"/>
        <w:rPr>
          <w:ins w:id="49" w:author="杨工" w:date="2026-08-12T15:42:43Z"/>
          <w:rFonts w:hint="eastAsia" w:ascii="宋体" w:hAnsi="宋体" w:cs="@仿宋_GB2312"/>
          <w:b/>
          <w:bCs/>
          <w:color w:val="auto"/>
          <w:sz w:val="24"/>
          <w:szCs w:val="20"/>
          <w:highlight w:val="none"/>
          <w:lang w:val="zh-CN"/>
        </w:rPr>
      </w:pPr>
      <w:ins w:id="50" w:author="杨工" w:date="2026-08-12T15:42:40Z">
        <w:r>
          <w:rPr>
            <w:rFonts w:ascii="宋体" w:hAnsi="宋体" w:eastAsia="宋体" w:cs="宋体"/>
            <w:color w:val="auto"/>
            <w:sz w:val="24"/>
            <w:szCs w:val="24"/>
            <w:highlight w:val="none"/>
          </w:rPr>
          <w:t>补充说明：本合同约定乙方收取的仅为劳务外包管理服务费；项目服务人员基础工资、临时额外用工薪酬（全年固定工资约 126 万元、临时用工费用约 15 万元）由甲方单独据实承担，不计入本合同服务费总价，不属于乙方合同价款结算范围。</w:t>
        </w:r>
      </w:ins>
    </w:p>
    <w:p w14:paraId="521F8D8B">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w:t>
      </w:r>
      <w:r>
        <w:rPr>
          <w:rFonts w:ascii="宋体" w:hAnsi="宋体" w:cs="@仿宋_GB2312"/>
          <w:b/>
          <w:bCs/>
          <w:color w:val="auto"/>
          <w:sz w:val="24"/>
          <w:szCs w:val="20"/>
          <w:highlight w:val="none"/>
          <w:lang w:val="zh-CN"/>
        </w:rPr>
        <w:t xml:space="preserve">3 </w:t>
      </w:r>
      <w:r>
        <w:rPr>
          <w:rFonts w:hint="eastAsia" w:ascii="宋体" w:hAnsi="宋体" w:cs="@仿宋_GB2312"/>
          <w:b/>
          <w:bCs/>
          <w:color w:val="auto"/>
          <w:sz w:val="24"/>
          <w:szCs w:val="20"/>
          <w:highlight w:val="none"/>
          <w:lang w:val="zh-CN"/>
        </w:rPr>
        <w:t>价款</w:t>
      </w:r>
    </w:p>
    <w:p w14:paraId="1C4B4E9B">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本合同总价为</w:t>
      </w:r>
      <w:r>
        <w:rPr>
          <w:rFonts w:hint="eastAsia" w:ascii="宋体" w:hAnsi="宋体" w:cs="@仿宋_GB2312"/>
          <w:color w:val="auto"/>
          <w:sz w:val="24"/>
          <w:szCs w:val="20"/>
          <w:highlight w:val="none"/>
        </w:rPr>
        <w:t>：￥</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rPr>
        <w:t>元</w:t>
      </w:r>
      <w:r>
        <w:rPr>
          <w:rFonts w:hint="eastAsia" w:ascii="宋体" w:hAnsi="宋体" w:cs="@仿宋_GB2312"/>
          <w:color w:val="auto"/>
          <w:sz w:val="24"/>
          <w:szCs w:val="20"/>
          <w:highlight w:val="none"/>
        </w:rPr>
        <w:t>（大写：人民币</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元）</w:t>
      </w:r>
      <w:r>
        <w:rPr>
          <w:rFonts w:ascii="宋体" w:hAnsi="宋体" w:cs="@仿宋_GB2312"/>
          <w:color w:val="auto"/>
          <w:sz w:val="24"/>
          <w:szCs w:val="20"/>
          <w:highlight w:val="none"/>
        </w:rPr>
        <w:t>。</w:t>
      </w:r>
    </w:p>
    <w:p w14:paraId="402F6244">
      <w:pPr>
        <w:spacing w:line="360" w:lineRule="auto"/>
        <w:ind w:firstLine="435"/>
        <w:outlineLvl w:val="9"/>
        <w:rPr>
          <w:rFonts w:ascii="宋体" w:hAnsi="宋体" w:cs="@仿宋_GB2312"/>
          <w:color w:val="auto"/>
          <w:sz w:val="24"/>
          <w:szCs w:val="20"/>
          <w:highlight w:val="none"/>
          <w:u w:val="single"/>
        </w:rPr>
      </w:pPr>
      <w:r>
        <w:rPr>
          <w:rFonts w:ascii="宋体" w:hAnsi="宋体" w:cs="@仿宋_GB2312"/>
          <w:color w:val="auto"/>
          <w:sz w:val="24"/>
          <w:szCs w:val="20"/>
          <w:highlight w:val="none"/>
        </w:rPr>
        <w:t>分项价格</w:t>
      </w:r>
      <w:r>
        <w:rPr>
          <w:rFonts w:hint="eastAsia" w:ascii="宋体" w:hAnsi="宋体" w:cs="@仿宋_GB2312"/>
          <w:color w:val="auto"/>
          <w:sz w:val="24"/>
          <w:szCs w:val="20"/>
          <w:highlight w:val="none"/>
        </w:rPr>
        <w:t>（如有）</w:t>
      </w:r>
      <w:r>
        <w:rPr>
          <w:rFonts w:ascii="宋体" w:hAnsi="宋体" w:cs="@仿宋_GB2312"/>
          <w:color w:val="auto"/>
          <w:sz w:val="24"/>
          <w:szCs w:val="20"/>
          <w:highlight w:val="none"/>
        </w:rPr>
        <w:t>：</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4316"/>
        <w:gridCol w:w="12"/>
        <w:gridCol w:w="3225"/>
        <w:gridCol w:w="12"/>
      </w:tblGrid>
      <w:tr w14:paraId="7F51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center"/>
          </w:tcPr>
          <w:p w14:paraId="26CF3F94">
            <w:pPr>
              <w:jc w:val="center"/>
              <w:outlineLvl w:val="9"/>
              <w:rPr>
                <w:rFonts w:ascii="宋体" w:hAnsi="宋体" w:cs="@仿宋_GB2312"/>
                <w:color w:val="auto"/>
                <w:sz w:val="24"/>
                <w:szCs w:val="20"/>
                <w:highlight w:val="none"/>
                <w:lang w:val="zh-CN"/>
              </w:rPr>
            </w:pPr>
            <w:r>
              <w:rPr>
                <w:rFonts w:ascii="宋体" w:hAnsi="宋体" w:cs="@仿宋_GB2312"/>
                <w:color w:val="auto"/>
                <w:sz w:val="24"/>
                <w:szCs w:val="20"/>
                <w:highlight w:val="none"/>
                <w:lang w:val="zh-CN"/>
              </w:rPr>
              <w:t>序号</w:t>
            </w:r>
          </w:p>
        </w:tc>
        <w:tc>
          <w:tcPr>
            <w:tcW w:w="2532" w:type="pct"/>
            <w:noWrap w:val="0"/>
            <w:vAlign w:val="center"/>
          </w:tcPr>
          <w:p w14:paraId="6ACCEEB1">
            <w:pPr>
              <w:ind w:firstLine="200"/>
              <w:jc w:val="center"/>
              <w:outlineLvl w:val="9"/>
              <w:rPr>
                <w:rFonts w:ascii="宋体" w:hAnsi="宋体"/>
                <w:color w:val="auto"/>
                <w:sz w:val="24"/>
                <w:szCs w:val="24"/>
                <w:highlight w:val="none"/>
              </w:rPr>
            </w:pPr>
            <w:r>
              <w:rPr>
                <w:rFonts w:hint="eastAsia" w:ascii="宋体" w:hAnsi="宋体"/>
                <w:color w:val="auto"/>
                <w:sz w:val="24"/>
                <w:szCs w:val="24"/>
                <w:highlight w:val="none"/>
              </w:rPr>
              <w:t>分项名称</w:t>
            </w:r>
          </w:p>
        </w:tc>
        <w:tc>
          <w:tcPr>
            <w:tcW w:w="1899" w:type="pct"/>
            <w:gridSpan w:val="2"/>
            <w:noWrap w:val="0"/>
            <w:vAlign w:val="center"/>
          </w:tcPr>
          <w:p w14:paraId="6D2D7E36">
            <w:pPr>
              <w:jc w:val="center"/>
              <w:outlineLvl w:val="9"/>
              <w:rPr>
                <w:rFonts w:ascii="宋体" w:hAnsi="宋体"/>
                <w:color w:val="auto"/>
                <w:sz w:val="24"/>
                <w:szCs w:val="24"/>
                <w:highlight w:val="none"/>
              </w:rPr>
            </w:pPr>
            <w:r>
              <w:rPr>
                <w:rFonts w:ascii="宋体" w:hAnsi="宋体"/>
                <w:color w:val="auto"/>
                <w:sz w:val="24"/>
                <w:szCs w:val="24"/>
                <w:highlight w:val="none"/>
              </w:rPr>
              <w:t>分项价格</w:t>
            </w:r>
          </w:p>
        </w:tc>
      </w:tr>
      <w:tr w14:paraId="0501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205533C4">
            <w:pPr>
              <w:jc w:val="center"/>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1</w:t>
            </w:r>
          </w:p>
        </w:tc>
        <w:tc>
          <w:tcPr>
            <w:tcW w:w="2532" w:type="pct"/>
            <w:noWrap w:val="0"/>
            <w:vAlign w:val="center"/>
          </w:tcPr>
          <w:p w14:paraId="2E89247F">
            <w:pPr>
              <w:ind w:firstLine="200"/>
              <w:jc w:val="center"/>
              <w:outlineLvl w:val="9"/>
              <w:rPr>
                <w:rFonts w:ascii="宋体" w:hAnsi="宋体"/>
                <w:color w:val="auto"/>
                <w:sz w:val="24"/>
                <w:szCs w:val="24"/>
                <w:highlight w:val="none"/>
              </w:rPr>
            </w:pPr>
          </w:p>
        </w:tc>
        <w:tc>
          <w:tcPr>
            <w:tcW w:w="1899" w:type="pct"/>
            <w:gridSpan w:val="2"/>
            <w:noWrap w:val="0"/>
            <w:vAlign w:val="center"/>
          </w:tcPr>
          <w:p w14:paraId="2F7905DE">
            <w:pPr>
              <w:ind w:firstLine="200"/>
              <w:jc w:val="center"/>
              <w:outlineLvl w:val="9"/>
              <w:rPr>
                <w:rFonts w:ascii="宋体" w:hAnsi="宋体"/>
                <w:color w:val="auto"/>
                <w:sz w:val="24"/>
                <w:szCs w:val="24"/>
                <w:highlight w:val="none"/>
              </w:rPr>
            </w:pPr>
          </w:p>
        </w:tc>
      </w:tr>
      <w:tr w14:paraId="7E14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3D26BF26">
            <w:pPr>
              <w:jc w:val="center"/>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2</w:t>
            </w:r>
          </w:p>
        </w:tc>
        <w:tc>
          <w:tcPr>
            <w:tcW w:w="2532" w:type="pct"/>
            <w:noWrap w:val="0"/>
            <w:vAlign w:val="center"/>
          </w:tcPr>
          <w:p w14:paraId="318B53CC">
            <w:pPr>
              <w:ind w:firstLine="200"/>
              <w:jc w:val="center"/>
              <w:outlineLvl w:val="9"/>
              <w:rPr>
                <w:rFonts w:ascii="宋体" w:hAnsi="宋体"/>
                <w:color w:val="auto"/>
                <w:sz w:val="24"/>
                <w:szCs w:val="24"/>
                <w:highlight w:val="none"/>
              </w:rPr>
            </w:pPr>
          </w:p>
        </w:tc>
        <w:tc>
          <w:tcPr>
            <w:tcW w:w="1899" w:type="pct"/>
            <w:gridSpan w:val="2"/>
            <w:noWrap w:val="0"/>
            <w:vAlign w:val="center"/>
          </w:tcPr>
          <w:p w14:paraId="66C37404">
            <w:pPr>
              <w:ind w:firstLine="200"/>
              <w:jc w:val="center"/>
              <w:outlineLvl w:val="9"/>
              <w:rPr>
                <w:rFonts w:ascii="宋体" w:hAnsi="宋体"/>
                <w:color w:val="auto"/>
                <w:sz w:val="24"/>
                <w:szCs w:val="24"/>
                <w:highlight w:val="none"/>
              </w:rPr>
            </w:pPr>
          </w:p>
        </w:tc>
      </w:tr>
      <w:tr w14:paraId="262A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12F6C326">
            <w:pPr>
              <w:jc w:val="center"/>
              <w:outlineLvl w:val="9"/>
              <w:rPr>
                <w:rFonts w:ascii="宋体" w:hAnsi="宋体" w:cs="@仿宋_GB2312"/>
                <w:color w:val="auto"/>
                <w:sz w:val="24"/>
                <w:szCs w:val="20"/>
                <w:highlight w:val="none"/>
                <w:lang w:val="zh-CN"/>
              </w:rPr>
            </w:pPr>
            <w:r>
              <w:rPr>
                <w:rFonts w:ascii="宋体" w:hAnsi="宋体" w:cs="@仿宋_GB2312"/>
                <w:color w:val="auto"/>
                <w:sz w:val="24"/>
                <w:szCs w:val="20"/>
                <w:highlight w:val="none"/>
                <w:lang w:val="zh-CN"/>
              </w:rPr>
              <w:t>3</w:t>
            </w:r>
          </w:p>
        </w:tc>
        <w:tc>
          <w:tcPr>
            <w:tcW w:w="2532" w:type="pct"/>
            <w:noWrap w:val="0"/>
            <w:vAlign w:val="center"/>
          </w:tcPr>
          <w:p w14:paraId="48716EC4">
            <w:pPr>
              <w:ind w:firstLine="200"/>
              <w:jc w:val="center"/>
              <w:outlineLvl w:val="9"/>
              <w:rPr>
                <w:rFonts w:ascii="宋体" w:hAnsi="宋体"/>
                <w:color w:val="auto"/>
                <w:sz w:val="24"/>
                <w:szCs w:val="24"/>
                <w:highlight w:val="none"/>
              </w:rPr>
            </w:pPr>
          </w:p>
        </w:tc>
        <w:tc>
          <w:tcPr>
            <w:tcW w:w="1899" w:type="pct"/>
            <w:gridSpan w:val="2"/>
            <w:noWrap w:val="0"/>
            <w:vAlign w:val="center"/>
          </w:tcPr>
          <w:p w14:paraId="63B1595F">
            <w:pPr>
              <w:ind w:firstLine="200"/>
              <w:jc w:val="center"/>
              <w:outlineLvl w:val="9"/>
              <w:rPr>
                <w:rFonts w:ascii="宋体" w:hAnsi="宋体"/>
                <w:color w:val="auto"/>
                <w:sz w:val="24"/>
                <w:szCs w:val="24"/>
                <w:highlight w:val="none"/>
              </w:rPr>
            </w:pPr>
          </w:p>
        </w:tc>
      </w:tr>
      <w:tr w14:paraId="2638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634FFD3D">
            <w:pPr>
              <w:jc w:val="center"/>
              <w:outlineLvl w:val="9"/>
              <w:rPr>
                <w:rFonts w:ascii="宋体" w:hAnsi="宋体" w:cs="@仿宋_GB2312"/>
                <w:color w:val="auto"/>
                <w:sz w:val="24"/>
                <w:szCs w:val="20"/>
                <w:highlight w:val="none"/>
                <w:lang w:val="zh-CN"/>
              </w:rPr>
            </w:pPr>
            <w:r>
              <w:rPr>
                <w:rFonts w:hint="eastAsia" w:ascii="宋体" w:hAnsi="宋体" w:cs="@仿宋_GB2312"/>
                <w:color w:val="auto"/>
                <w:sz w:val="24"/>
                <w:szCs w:val="20"/>
                <w:highlight w:val="none"/>
                <w:lang w:val="zh-CN"/>
              </w:rPr>
              <w:t>……</w:t>
            </w:r>
          </w:p>
        </w:tc>
        <w:tc>
          <w:tcPr>
            <w:tcW w:w="2532" w:type="pct"/>
            <w:noWrap w:val="0"/>
            <w:vAlign w:val="center"/>
          </w:tcPr>
          <w:p w14:paraId="4430A657">
            <w:pPr>
              <w:ind w:firstLine="200"/>
              <w:jc w:val="center"/>
              <w:outlineLvl w:val="9"/>
              <w:rPr>
                <w:rFonts w:ascii="宋体" w:hAnsi="宋体"/>
                <w:color w:val="auto"/>
                <w:sz w:val="24"/>
                <w:szCs w:val="24"/>
                <w:highlight w:val="none"/>
              </w:rPr>
            </w:pPr>
          </w:p>
        </w:tc>
        <w:tc>
          <w:tcPr>
            <w:tcW w:w="1899" w:type="pct"/>
            <w:gridSpan w:val="2"/>
            <w:noWrap w:val="0"/>
            <w:vAlign w:val="center"/>
          </w:tcPr>
          <w:p w14:paraId="4F0380B8">
            <w:pPr>
              <w:ind w:firstLine="200"/>
              <w:jc w:val="center"/>
              <w:outlineLvl w:val="9"/>
              <w:rPr>
                <w:rFonts w:ascii="宋体" w:hAnsi="宋体"/>
                <w:color w:val="auto"/>
                <w:sz w:val="24"/>
                <w:szCs w:val="24"/>
                <w:highlight w:val="none"/>
              </w:rPr>
            </w:pPr>
          </w:p>
        </w:tc>
      </w:tr>
      <w:tr w14:paraId="0C1A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noWrap w:val="0"/>
            <w:vAlign w:val="center"/>
          </w:tcPr>
          <w:p w14:paraId="36FF2065">
            <w:pPr>
              <w:ind w:firstLine="200"/>
              <w:jc w:val="center"/>
              <w:outlineLvl w:val="9"/>
              <w:rPr>
                <w:rFonts w:ascii="宋体" w:hAnsi="宋体"/>
                <w:color w:val="auto"/>
                <w:sz w:val="24"/>
                <w:szCs w:val="24"/>
                <w:highlight w:val="none"/>
              </w:rPr>
            </w:pPr>
            <w:r>
              <w:rPr>
                <w:rFonts w:hint="eastAsia" w:ascii="宋体" w:hAnsi="宋体"/>
                <w:color w:val="auto"/>
                <w:sz w:val="24"/>
                <w:szCs w:val="24"/>
                <w:highlight w:val="none"/>
              </w:rPr>
              <w:t>总价</w:t>
            </w:r>
          </w:p>
        </w:tc>
        <w:tc>
          <w:tcPr>
            <w:tcW w:w="1899" w:type="pct"/>
            <w:gridSpan w:val="2"/>
            <w:noWrap w:val="0"/>
            <w:vAlign w:val="center"/>
          </w:tcPr>
          <w:p w14:paraId="61E70ADE">
            <w:pPr>
              <w:ind w:firstLine="200"/>
              <w:jc w:val="center"/>
              <w:outlineLvl w:val="9"/>
              <w:rPr>
                <w:rFonts w:ascii="宋体" w:hAnsi="宋体"/>
                <w:color w:val="auto"/>
                <w:sz w:val="24"/>
                <w:szCs w:val="24"/>
                <w:highlight w:val="none"/>
              </w:rPr>
            </w:pPr>
          </w:p>
        </w:tc>
      </w:tr>
    </w:tbl>
    <w:p w14:paraId="5C0A6AB4">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w:t>
      </w:r>
      <w:r>
        <w:rPr>
          <w:rFonts w:ascii="宋体" w:hAnsi="宋体" w:cs="@仿宋_GB2312"/>
          <w:b/>
          <w:bCs/>
          <w:color w:val="auto"/>
          <w:sz w:val="24"/>
          <w:szCs w:val="20"/>
          <w:highlight w:val="none"/>
          <w:lang w:val="zh-CN"/>
        </w:rPr>
        <w:t>4 付款方式和发票开具方式</w:t>
      </w:r>
    </w:p>
    <w:p w14:paraId="07553729">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1.4.1</w:t>
      </w:r>
      <w:r>
        <w:rPr>
          <w:rFonts w:ascii="宋体" w:hAnsi="宋体" w:cs="@仿宋_GB2312"/>
          <w:color w:val="auto"/>
          <w:sz w:val="24"/>
          <w:szCs w:val="20"/>
          <w:highlight w:val="none"/>
        </w:rPr>
        <w:t>付款方式：</w:t>
      </w:r>
      <w:r>
        <w:rPr>
          <w:rFonts w:hint="eastAsia" w:ascii="宋体" w:hAnsi="宋体" w:cs="@仿宋_GB2312"/>
          <w:color w:val="auto"/>
          <w:sz w:val="24"/>
          <w:szCs w:val="20"/>
          <w:highlight w:val="none"/>
        </w:rPr>
        <w:t>每月依据实际业务量，据实结算；</w:t>
      </w:r>
    </w:p>
    <w:p w14:paraId="78B9A71E">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1.4.2发票开具方式：</w:t>
      </w:r>
      <w:r>
        <w:rPr>
          <w:rFonts w:hint="eastAsia" w:ascii="宋体" w:hAnsi="宋体" w:cs="@仿宋_GB2312"/>
          <w:color w:val="auto"/>
          <w:sz w:val="24"/>
          <w:szCs w:val="20"/>
          <w:highlight w:val="none"/>
          <w:u w:val="none"/>
          <w:lang w:val="en-US" w:eastAsia="zh-CN"/>
        </w:rPr>
        <w:t>每月8号开具电子发</w:t>
      </w:r>
      <w:r>
        <w:rPr>
          <w:rFonts w:hint="default" w:ascii="宋体" w:hAnsi="宋体" w:cs="@仿宋_GB2312"/>
          <w:color w:val="auto"/>
          <w:sz w:val="24"/>
          <w:szCs w:val="20"/>
          <w:highlight w:val="none"/>
          <w:u w:val="none"/>
          <w:lang w:val="en-US" w:eastAsia="zh-CN"/>
        </w:rPr>
        <w:t>票（</w:t>
      </w:r>
      <w:r>
        <w:rPr>
          <w:rFonts w:hint="eastAsia" w:ascii="宋体" w:hAnsi="宋体" w:cs="@仿宋_GB2312"/>
          <w:color w:val="auto"/>
          <w:sz w:val="24"/>
          <w:szCs w:val="20"/>
          <w:highlight w:val="none"/>
          <w:u w:val="none"/>
          <w:lang w:val="en-US" w:eastAsia="zh-CN"/>
        </w:rPr>
        <w:t>6</w:t>
      </w:r>
      <w:r>
        <w:rPr>
          <w:rFonts w:hint="default" w:ascii="宋体" w:hAnsi="宋体" w:cs="@仿宋_GB2312"/>
          <w:color w:val="auto"/>
          <w:sz w:val="24"/>
          <w:szCs w:val="20"/>
          <w:highlight w:val="none"/>
          <w:u w:val="none"/>
          <w:lang w:val="en-US" w:eastAsia="zh-CN"/>
        </w:rPr>
        <w:t>%增值税票）</w:t>
      </w:r>
      <w:r>
        <w:rPr>
          <w:rFonts w:hint="default" w:ascii="宋体" w:hAnsi="宋体" w:cs="@仿宋_GB2312"/>
          <w:color w:val="auto"/>
          <w:sz w:val="24"/>
          <w:szCs w:val="20"/>
          <w:highlight w:val="none"/>
          <w:u w:val="none"/>
        </w:rPr>
        <w:t xml:space="preserve">    </w:t>
      </w:r>
    </w:p>
    <w:p w14:paraId="7F3B50DB">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w:t>
      </w:r>
      <w:r>
        <w:rPr>
          <w:rFonts w:ascii="宋体" w:hAnsi="宋体" w:cs="@仿宋_GB2312"/>
          <w:b/>
          <w:bCs/>
          <w:color w:val="auto"/>
          <w:sz w:val="24"/>
          <w:szCs w:val="20"/>
          <w:highlight w:val="none"/>
          <w:lang w:val="zh-CN"/>
        </w:rPr>
        <w:t xml:space="preserve">5 </w:t>
      </w:r>
      <w:r>
        <w:rPr>
          <w:rFonts w:hint="eastAsia" w:ascii="宋体" w:hAnsi="宋体" w:cs="@仿宋_GB2312"/>
          <w:b/>
          <w:bCs/>
          <w:color w:val="auto"/>
          <w:sz w:val="24"/>
          <w:szCs w:val="20"/>
          <w:highlight w:val="none"/>
          <w:lang w:val="zh-CN"/>
        </w:rPr>
        <w:t>服务</w:t>
      </w:r>
      <w:r>
        <w:rPr>
          <w:rFonts w:ascii="宋体" w:hAnsi="宋体" w:cs="@仿宋_GB2312"/>
          <w:b/>
          <w:bCs/>
          <w:color w:val="auto"/>
          <w:sz w:val="24"/>
          <w:szCs w:val="20"/>
          <w:highlight w:val="none"/>
          <w:lang w:val="zh-CN"/>
        </w:rPr>
        <w:t>期限</w:t>
      </w:r>
      <w:r>
        <w:rPr>
          <w:rFonts w:hint="eastAsia" w:ascii="宋体" w:hAnsi="宋体" w:cs="@仿宋_GB2312"/>
          <w:b/>
          <w:bCs/>
          <w:color w:val="auto"/>
          <w:sz w:val="24"/>
          <w:szCs w:val="20"/>
          <w:highlight w:val="none"/>
          <w:lang w:val="zh-CN"/>
        </w:rPr>
        <w:t>、地点和方式</w:t>
      </w:r>
    </w:p>
    <w:p w14:paraId="700976AD">
      <w:pPr>
        <w:spacing w:line="360" w:lineRule="auto"/>
        <w:ind w:firstLine="435"/>
        <w:outlineLvl w:val="9"/>
        <w:rPr>
          <w:rFonts w:ascii="宋体" w:hAnsi="宋体" w:cs="@仿宋_GB2312"/>
          <w:color w:val="auto"/>
          <w:sz w:val="24"/>
          <w:szCs w:val="20"/>
          <w:highlight w:val="none"/>
          <w:u w:val="single"/>
        </w:rPr>
      </w:pPr>
      <w:r>
        <w:rPr>
          <w:rFonts w:hint="eastAsia" w:ascii="宋体" w:hAnsi="宋体" w:cs="@仿宋_GB2312"/>
          <w:color w:val="auto"/>
          <w:sz w:val="24"/>
          <w:szCs w:val="20"/>
          <w:highlight w:val="none"/>
        </w:rPr>
        <w:t>1.5.1服务期限</w:t>
      </w:r>
      <w:r>
        <w:rPr>
          <w:rFonts w:ascii="宋体" w:hAnsi="宋体" w:cs="@仿宋_GB2312"/>
          <w:color w:val="auto"/>
          <w:sz w:val="24"/>
          <w:szCs w:val="20"/>
          <w:highlight w:val="none"/>
        </w:rPr>
        <w:t>：</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1年</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w:t>
      </w:r>
    </w:p>
    <w:p w14:paraId="6887F085">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1.5.2服务地点</w:t>
      </w:r>
      <w:r>
        <w:rPr>
          <w:rFonts w:ascii="宋体" w:hAnsi="宋体" w:cs="@仿宋_GB2312"/>
          <w:color w:val="auto"/>
          <w:sz w:val="24"/>
          <w:szCs w:val="20"/>
          <w:highlight w:val="none"/>
        </w:rPr>
        <w:t>：</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黄山市（2区4县）</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w:t>
      </w:r>
    </w:p>
    <w:p w14:paraId="0E2EB85D">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1.5.3服务方式：</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外包服务</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w:t>
      </w:r>
    </w:p>
    <w:p w14:paraId="05DD0799">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1.6 违约责任</w:t>
      </w:r>
    </w:p>
    <w:p w14:paraId="65F084E0">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1.6.1</w:t>
      </w:r>
      <w:r>
        <w:rPr>
          <w:rFonts w:ascii="宋体" w:hAnsi="宋体" w:cs="@仿宋_GB2312"/>
          <w:color w:val="auto"/>
          <w:sz w:val="24"/>
          <w:szCs w:val="20"/>
          <w:highlight w:val="none"/>
        </w:rPr>
        <w:t>除不可抗力外，如果乙方没有按照本合同约定的期限</w:t>
      </w:r>
      <w:r>
        <w:rPr>
          <w:rFonts w:hint="eastAsia" w:ascii="宋体" w:hAnsi="宋体" w:cs="@仿宋_GB2312"/>
          <w:color w:val="auto"/>
          <w:sz w:val="24"/>
          <w:szCs w:val="20"/>
          <w:highlight w:val="none"/>
        </w:rPr>
        <w:t>、</w:t>
      </w:r>
      <w:r>
        <w:rPr>
          <w:rFonts w:ascii="宋体" w:hAnsi="宋体" w:cs="@仿宋_GB2312"/>
          <w:color w:val="auto"/>
          <w:sz w:val="24"/>
          <w:szCs w:val="20"/>
          <w:highlight w:val="none"/>
        </w:rPr>
        <w:t>地点和方式</w:t>
      </w:r>
      <w:r>
        <w:rPr>
          <w:rFonts w:hint="eastAsia" w:ascii="宋体" w:hAnsi="宋体" w:cs="@仿宋_GB2312"/>
          <w:color w:val="auto"/>
          <w:sz w:val="24"/>
          <w:szCs w:val="20"/>
          <w:highlight w:val="none"/>
        </w:rPr>
        <w:t>履行</w:t>
      </w:r>
      <w:r>
        <w:rPr>
          <w:rFonts w:ascii="宋体" w:hAnsi="宋体" w:cs="@仿宋_GB2312"/>
          <w:color w:val="auto"/>
          <w:sz w:val="24"/>
          <w:szCs w:val="20"/>
          <w:highlight w:val="none"/>
        </w:rPr>
        <w:t>，那么甲方可要求乙方支付违约金</w:t>
      </w:r>
      <w:r>
        <w:rPr>
          <w:rFonts w:hint="eastAsia" w:ascii="宋体" w:hAnsi="宋体" w:cs="@仿宋_GB2312"/>
          <w:color w:val="auto"/>
          <w:sz w:val="24"/>
          <w:szCs w:val="20"/>
          <w:highlight w:val="none"/>
        </w:rPr>
        <w:t>，</w:t>
      </w:r>
      <w:r>
        <w:rPr>
          <w:rFonts w:ascii="宋体" w:hAnsi="宋体" w:cs="@仿宋_GB2312"/>
          <w:color w:val="auto"/>
          <w:sz w:val="24"/>
          <w:szCs w:val="20"/>
          <w:highlight w:val="none"/>
        </w:rPr>
        <w:t>违约金按每迟延</w:t>
      </w:r>
      <w:r>
        <w:rPr>
          <w:rFonts w:hint="eastAsia" w:ascii="宋体" w:hAnsi="宋体" w:cs="@仿宋_GB2312"/>
          <w:color w:val="auto"/>
          <w:sz w:val="24"/>
          <w:szCs w:val="20"/>
          <w:highlight w:val="none"/>
        </w:rPr>
        <w:t>履行</w:t>
      </w:r>
      <w:r>
        <w:rPr>
          <w:rFonts w:ascii="宋体" w:hAnsi="宋体" w:cs="@仿宋_GB2312"/>
          <w:color w:val="auto"/>
          <w:sz w:val="24"/>
          <w:szCs w:val="20"/>
          <w:highlight w:val="none"/>
        </w:rPr>
        <w:t>一日的应提供而未</w:t>
      </w:r>
      <w:r>
        <w:rPr>
          <w:rFonts w:hint="eastAsia" w:ascii="宋体" w:hAnsi="宋体" w:cs="@仿宋_GB2312"/>
          <w:color w:val="auto"/>
          <w:sz w:val="24"/>
          <w:szCs w:val="20"/>
          <w:highlight w:val="none"/>
        </w:rPr>
        <w:t>提供</w:t>
      </w:r>
      <w:r>
        <w:rPr>
          <w:rFonts w:ascii="宋体" w:hAnsi="宋体" w:cs="@仿宋_GB2312"/>
          <w:color w:val="auto"/>
          <w:sz w:val="24"/>
          <w:szCs w:val="20"/>
          <w:highlight w:val="none"/>
        </w:rPr>
        <w:t>服务价格的</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0.5</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rPr>
        <w:t>%计算</w:t>
      </w:r>
      <w:r>
        <w:rPr>
          <w:rFonts w:hint="eastAsia" w:ascii="宋体" w:hAnsi="宋体" w:cs="@仿宋_GB2312"/>
          <w:color w:val="auto"/>
          <w:sz w:val="24"/>
          <w:szCs w:val="20"/>
          <w:highlight w:val="none"/>
        </w:rPr>
        <w:t>，</w:t>
      </w:r>
      <w:r>
        <w:rPr>
          <w:rFonts w:ascii="宋体" w:hAnsi="宋体" w:cs="@仿宋_GB2312"/>
          <w:color w:val="auto"/>
          <w:sz w:val="24"/>
          <w:szCs w:val="20"/>
          <w:highlight w:val="none"/>
        </w:rPr>
        <w:t>最高限额为</w:t>
      </w:r>
      <w:r>
        <w:rPr>
          <w:rFonts w:hint="eastAsia" w:ascii="宋体" w:hAnsi="宋体" w:cs="@仿宋_GB2312"/>
          <w:color w:val="auto"/>
          <w:sz w:val="24"/>
          <w:szCs w:val="20"/>
          <w:highlight w:val="none"/>
        </w:rPr>
        <w:t>本</w:t>
      </w:r>
      <w:r>
        <w:rPr>
          <w:rFonts w:ascii="宋体" w:hAnsi="宋体" w:cs="@仿宋_GB2312"/>
          <w:color w:val="auto"/>
          <w:sz w:val="24"/>
          <w:szCs w:val="20"/>
          <w:highlight w:val="none"/>
        </w:rPr>
        <w:t>合同总价的</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10</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rPr>
        <w:t>%</w:t>
      </w:r>
      <w:r>
        <w:rPr>
          <w:rFonts w:hint="eastAsia" w:ascii="宋体" w:hAnsi="宋体" w:cs="@仿宋_GB2312"/>
          <w:color w:val="auto"/>
          <w:sz w:val="24"/>
          <w:szCs w:val="20"/>
          <w:highlight w:val="none"/>
        </w:rPr>
        <w:t>；</w:t>
      </w:r>
      <w:r>
        <w:rPr>
          <w:rFonts w:ascii="宋体" w:hAnsi="宋体" w:cs="@仿宋_GB2312"/>
          <w:color w:val="auto"/>
          <w:sz w:val="24"/>
          <w:szCs w:val="20"/>
          <w:highlight w:val="none"/>
        </w:rPr>
        <w:t>迟延</w:t>
      </w:r>
      <w:r>
        <w:rPr>
          <w:rFonts w:hint="eastAsia" w:ascii="宋体" w:hAnsi="宋体" w:cs="@仿宋_GB2312"/>
          <w:color w:val="auto"/>
          <w:sz w:val="24"/>
          <w:szCs w:val="20"/>
          <w:highlight w:val="none"/>
        </w:rPr>
        <w:t>履行</w:t>
      </w:r>
      <w:r>
        <w:rPr>
          <w:rFonts w:ascii="宋体" w:hAnsi="宋体" w:cs="@仿宋_GB2312"/>
          <w:color w:val="auto"/>
          <w:sz w:val="24"/>
          <w:szCs w:val="20"/>
          <w:highlight w:val="none"/>
        </w:rPr>
        <w:t>的违约金计算数额达到前述最高限额之日起</w:t>
      </w:r>
      <w:r>
        <w:rPr>
          <w:rFonts w:hint="eastAsia" w:ascii="宋体" w:hAnsi="宋体" w:cs="@仿宋_GB2312"/>
          <w:color w:val="auto"/>
          <w:sz w:val="24"/>
          <w:szCs w:val="20"/>
          <w:highlight w:val="none"/>
        </w:rPr>
        <w:t>，</w:t>
      </w:r>
      <w:r>
        <w:rPr>
          <w:rFonts w:ascii="宋体" w:hAnsi="宋体" w:cs="@仿宋_GB2312"/>
          <w:color w:val="auto"/>
          <w:sz w:val="24"/>
          <w:szCs w:val="20"/>
          <w:highlight w:val="none"/>
        </w:rPr>
        <w:t>甲方有权在要求乙方支付违约金的同时</w:t>
      </w:r>
      <w:r>
        <w:rPr>
          <w:rFonts w:hint="eastAsia" w:ascii="宋体" w:hAnsi="宋体" w:cs="@仿宋_GB2312"/>
          <w:color w:val="auto"/>
          <w:sz w:val="24"/>
          <w:szCs w:val="20"/>
          <w:highlight w:val="none"/>
        </w:rPr>
        <w:t>，书面通知乙方</w:t>
      </w:r>
      <w:r>
        <w:rPr>
          <w:rFonts w:ascii="宋体" w:hAnsi="宋体" w:cs="@仿宋_GB2312"/>
          <w:color w:val="auto"/>
          <w:sz w:val="24"/>
          <w:szCs w:val="20"/>
          <w:highlight w:val="none"/>
        </w:rPr>
        <w:t>解除本合同</w:t>
      </w:r>
      <w:r>
        <w:rPr>
          <w:rFonts w:hint="eastAsia" w:ascii="宋体" w:hAnsi="宋体" w:cs="@仿宋_GB2312"/>
          <w:color w:val="auto"/>
          <w:sz w:val="24"/>
          <w:szCs w:val="20"/>
          <w:highlight w:val="none"/>
        </w:rPr>
        <w:t>；</w:t>
      </w:r>
    </w:p>
    <w:p w14:paraId="13F7C5DA">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1.6.2</w:t>
      </w:r>
      <w:r>
        <w:rPr>
          <w:rFonts w:ascii="宋体" w:hAnsi="宋体" w:cs="@仿宋_GB2312"/>
          <w:color w:val="auto"/>
          <w:sz w:val="24"/>
          <w:szCs w:val="20"/>
          <w:highlight w:val="none"/>
        </w:rPr>
        <w:t>除不可抗力外，如果甲方没有按照本合同约定的付款方式付款，那么乙方可要求甲方支付违约金</w:t>
      </w:r>
      <w:r>
        <w:rPr>
          <w:rFonts w:hint="eastAsia" w:ascii="宋体" w:hAnsi="宋体" w:cs="@仿宋_GB2312"/>
          <w:color w:val="auto"/>
          <w:sz w:val="24"/>
          <w:szCs w:val="20"/>
          <w:highlight w:val="none"/>
        </w:rPr>
        <w:t>，</w:t>
      </w:r>
      <w:r>
        <w:rPr>
          <w:rFonts w:ascii="宋体" w:hAnsi="宋体" w:cs="@仿宋_GB2312"/>
          <w:color w:val="auto"/>
          <w:sz w:val="24"/>
          <w:szCs w:val="20"/>
          <w:highlight w:val="none"/>
        </w:rPr>
        <w:t>违约金按每迟延</w:t>
      </w:r>
      <w:r>
        <w:rPr>
          <w:rFonts w:hint="eastAsia" w:ascii="宋体" w:hAnsi="宋体" w:cs="@仿宋_GB2312"/>
          <w:color w:val="auto"/>
          <w:sz w:val="24"/>
          <w:szCs w:val="20"/>
          <w:highlight w:val="none"/>
        </w:rPr>
        <w:t>付款</w:t>
      </w:r>
      <w:r>
        <w:rPr>
          <w:rFonts w:ascii="宋体" w:hAnsi="宋体" w:cs="@仿宋_GB2312"/>
          <w:color w:val="auto"/>
          <w:sz w:val="24"/>
          <w:szCs w:val="20"/>
          <w:highlight w:val="none"/>
        </w:rPr>
        <w:t>一日的应付而未付款的</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0.5</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rPr>
        <w:t>%计算</w:t>
      </w:r>
      <w:r>
        <w:rPr>
          <w:rFonts w:hint="eastAsia" w:ascii="宋体" w:hAnsi="宋体" w:cs="@仿宋_GB2312"/>
          <w:color w:val="auto"/>
          <w:sz w:val="24"/>
          <w:szCs w:val="20"/>
          <w:highlight w:val="none"/>
        </w:rPr>
        <w:t>，</w:t>
      </w:r>
      <w:r>
        <w:rPr>
          <w:rFonts w:ascii="宋体" w:hAnsi="宋体" w:cs="@仿宋_GB2312"/>
          <w:color w:val="auto"/>
          <w:sz w:val="24"/>
          <w:szCs w:val="20"/>
          <w:highlight w:val="none"/>
        </w:rPr>
        <w:t>最高限额为</w:t>
      </w:r>
      <w:r>
        <w:rPr>
          <w:rFonts w:hint="eastAsia" w:ascii="宋体" w:hAnsi="宋体" w:cs="@仿宋_GB2312"/>
          <w:color w:val="auto"/>
          <w:sz w:val="24"/>
          <w:szCs w:val="20"/>
          <w:highlight w:val="none"/>
        </w:rPr>
        <w:t>本</w:t>
      </w:r>
      <w:r>
        <w:rPr>
          <w:rFonts w:ascii="宋体" w:hAnsi="宋体" w:cs="@仿宋_GB2312"/>
          <w:color w:val="auto"/>
          <w:sz w:val="24"/>
          <w:szCs w:val="20"/>
          <w:highlight w:val="none"/>
        </w:rPr>
        <w:t>合同总价的</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10</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rPr>
        <w:t>%</w:t>
      </w:r>
      <w:r>
        <w:rPr>
          <w:rFonts w:hint="eastAsia" w:ascii="宋体" w:hAnsi="宋体" w:cs="@仿宋_GB2312"/>
          <w:color w:val="auto"/>
          <w:sz w:val="24"/>
          <w:szCs w:val="20"/>
          <w:highlight w:val="none"/>
        </w:rPr>
        <w:t>；</w:t>
      </w:r>
      <w:r>
        <w:rPr>
          <w:rFonts w:ascii="宋体" w:hAnsi="宋体" w:cs="@仿宋_GB2312"/>
          <w:color w:val="auto"/>
          <w:sz w:val="24"/>
          <w:szCs w:val="20"/>
          <w:highlight w:val="none"/>
        </w:rPr>
        <w:t>迟延</w:t>
      </w:r>
      <w:r>
        <w:rPr>
          <w:rFonts w:hint="eastAsia" w:ascii="宋体" w:hAnsi="宋体" w:cs="@仿宋_GB2312"/>
          <w:color w:val="auto"/>
          <w:sz w:val="24"/>
          <w:szCs w:val="20"/>
          <w:highlight w:val="none"/>
        </w:rPr>
        <w:t>付款</w:t>
      </w:r>
      <w:r>
        <w:rPr>
          <w:rFonts w:ascii="宋体" w:hAnsi="宋体" w:cs="@仿宋_GB2312"/>
          <w:color w:val="auto"/>
          <w:sz w:val="24"/>
          <w:szCs w:val="20"/>
          <w:highlight w:val="none"/>
        </w:rPr>
        <w:t>的违约金计算数额达到前述最高限额之日起</w:t>
      </w:r>
      <w:r>
        <w:rPr>
          <w:rFonts w:hint="eastAsia" w:ascii="宋体" w:hAnsi="宋体" w:cs="@仿宋_GB2312"/>
          <w:color w:val="auto"/>
          <w:sz w:val="24"/>
          <w:szCs w:val="20"/>
          <w:highlight w:val="none"/>
        </w:rPr>
        <w:t>，乙</w:t>
      </w:r>
      <w:r>
        <w:rPr>
          <w:rFonts w:ascii="宋体" w:hAnsi="宋体" w:cs="@仿宋_GB2312"/>
          <w:color w:val="auto"/>
          <w:sz w:val="24"/>
          <w:szCs w:val="20"/>
          <w:highlight w:val="none"/>
        </w:rPr>
        <w:t>方有权在要求甲方支付违约金的同时</w:t>
      </w:r>
      <w:r>
        <w:rPr>
          <w:rFonts w:hint="eastAsia" w:ascii="宋体" w:hAnsi="宋体" w:cs="@仿宋_GB2312"/>
          <w:color w:val="auto"/>
          <w:sz w:val="24"/>
          <w:szCs w:val="20"/>
          <w:highlight w:val="none"/>
        </w:rPr>
        <w:t>，书面通知甲方</w:t>
      </w:r>
      <w:r>
        <w:rPr>
          <w:rFonts w:ascii="宋体" w:hAnsi="宋体" w:cs="@仿宋_GB2312"/>
          <w:color w:val="auto"/>
          <w:sz w:val="24"/>
          <w:szCs w:val="20"/>
          <w:highlight w:val="none"/>
        </w:rPr>
        <w:t>解除本合同</w:t>
      </w:r>
      <w:r>
        <w:rPr>
          <w:rFonts w:hint="eastAsia" w:ascii="宋体" w:hAnsi="宋体" w:cs="@仿宋_GB2312"/>
          <w:color w:val="auto"/>
          <w:sz w:val="24"/>
          <w:szCs w:val="20"/>
          <w:highlight w:val="none"/>
        </w:rPr>
        <w:t>；</w:t>
      </w:r>
    </w:p>
    <w:p w14:paraId="09FE46F1">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AC3D105">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C9B4007">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97BAB57">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1AB9ADF">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1.6.7因甲方未按合同约定支付价款、未按合同约定受领标的物、擅自解除合同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5FBFF33C">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1.7</w:t>
      </w:r>
      <w:r>
        <w:rPr>
          <w:rFonts w:ascii="宋体" w:hAnsi="宋体" w:cs="@仿宋_GB2312"/>
          <w:b/>
          <w:bCs/>
          <w:color w:val="auto"/>
          <w:sz w:val="24"/>
          <w:szCs w:val="20"/>
          <w:highlight w:val="none"/>
          <w:lang w:val="zh-CN"/>
        </w:rPr>
        <w:t xml:space="preserve"> </w:t>
      </w:r>
      <w:r>
        <w:rPr>
          <w:rFonts w:hint="eastAsia" w:ascii="宋体" w:hAnsi="宋体" w:cs="@仿宋_GB2312"/>
          <w:b/>
          <w:bCs/>
          <w:color w:val="auto"/>
          <w:sz w:val="24"/>
          <w:szCs w:val="20"/>
          <w:highlight w:val="none"/>
          <w:lang w:val="zh-CN"/>
        </w:rPr>
        <w:t>合同</w:t>
      </w:r>
      <w:r>
        <w:rPr>
          <w:rFonts w:ascii="宋体" w:hAnsi="宋体" w:cs="@仿宋_GB2312"/>
          <w:b/>
          <w:bCs/>
          <w:color w:val="auto"/>
          <w:sz w:val="24"/>
          <w:szCs w:val="20"/>
          <w:highlight w:val="none"/>
          <w:lang w:val="zh-CN"/>
        </w:rPr>
        <w:t>争议的解决</w:t>
      </w:r>
    </w:p>
    <w:p w14:paraId="7DE2CDE6">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本合</w:t>
      </w:r>
      <w:r>
        <w:rPr>
          <w:rFonts w:ascii="宋体" w:hAnsi="宋体" w:cs="@仿宋_GB2312"/>
          <w:color w:val="auto"/>
          <w:sz w:val="24"/>
          <w:szCs w:val="20"/>
          <w:highlight w:val="none"/>
        </w:rPr>
        <w:t>同履行过程中发生的任何争议，双方当事人均可</w:t>
      </w:r>
      <w:r>
        <w:rPr>
          <w:rFonts w:hint="eastAsia" w:ascii="宋体" w:hAnsi="宋体" w:cs="@仿宋_GB2312"/>
          <w:color w:val="auto"/>
          <w:sz w:val="24"/>
          <w:szCs w:val="20"/>
          <w:highlight w:val="none"/>
        </w:rPr>
        <w:t>通过和解或者调解解决；不愿和解、调解或者和解、调解不成的，可以选择下列第</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2</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种方式解决：</w:t>
      </w:r>
    </w:p>
    <w:p w14:paraId="2A83013A">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1.7.1将争议提交</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val="en-US" w:eastAsia="zh-CN"/>
        </w:rPr>
        <w:t>黄山市屯溪区劳动</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仲裁委员会依申请仲裁时其现行有效的仲裁规则裁决；</w:t>
      </w:r>
    </w:p>
    <w:p w14:paraId="1CB4B9A9">
      <w:pPr>
        <w:spacing w:line="360" w:lineRule="auto"/>
        <w:ind w:firstLine="435"/>
        <w:outlineLvl w:val="9"/>
        <w:rPr>
          <w:rFonts w:hint="default" w:ascii="宋体" w:eastAsia="宋体"/>
          <w:b w:val="0"/>
          <w:bCs/>
          <w:color w:val="auto"/>
          <w:sz w:val="24"/>
          <w:szCs w:val="24"/>
          <w:highlight w:val="none"/>
          <w:lang w:val="en-US" w:eastAsia="zh-CN"/>
        </w:rPr>
      </w:pPr>
      <w:r>
        <w:rPr>
          <w:rFonts w:hint="eastAsia" w:ascii="宋体" w:hAnsi="宋体" w:cs="@仿宋_GB2312"/>
          <w:color w:val="auto"/>
          <w:sz w:val="24"/>
          <w:szCs w:val="20"/>
          <w:highlight w:val="none"/>
        </w:rPr>
        <w:t>1.7.2向</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lang w:eastAsia="zh-CN"/>
        </w:rPr>
        <w:t>黄山市屯溪区</w:t>
      </w:r>
      <w:r>
        <w:rPr>
          <w:rFonts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人民法院起诉。</w:t>
      </w:r>
    </w:p>
    <w:p w14:paraId="3E68D673">
      <w:pPr>
        <w:spacing w:line="360" w:lineRule="auto"/>
        <w:ind w:firstLine="437"/>
        <w:outlineLvl w:val="9"/>
        <w:rPr>
          <w:rFonts w:hint="eastAsia" w:ascii="宋体" w:hAnsi="宋体" w:cs="宋体"/>
          <w:b/>
          <w:bCs/>
          <w:color w:val="auto"/>
          <w:spacing w:val="15"/>
          <w:sz w:val="24"/>
          <w:szCs w:val="24"/>
          <w:highlight w:val="none"/>
          <w:lang w:val="en-US" w:eastAsia="zh-CN"/>
        </w:rPr>
      </w:pPr>
      <w:r>
        <w:rPr>
          <w:rFonts w:hint="eastAsia" w:ascii="宋体" w:hAnsi="宋体" w:eastAsia="宋体" w:cs="@仿宋_GB2312"/>
          <w:b/>
          <w:bCs/>
          <w:color w:val="auto"/>
          <w:sz w:val="24"/>
          <w:szCs w:val="20"/>
          <w:highlight w:val="none"/>
          <w:lang w:val="zh-CN"/>
        </w:rPr>
        <w:t>1.</w:t>
      </w:r>
      <w:r>
        <w:rPr>
          <w:rFonts w:hint="eastAsia" w:ascii="宋体" w:hAnsi="宋体" w:eastAsia="宋体" w:cs="@仿宋_GB2312"/>
          <w:b/>
          <w:bCs/>
          <w:color w:val="auto"/>
          <w:sz w:val="24"/>
          <w:szCs w:val="20"/>
          <w:highlight w:val="none"/>
          <w:lang w:val="en-US" w:eastAsia="zh-CN"/>
        </w:rPr>
        <w:t>8年度考核评分表</w:t>
      </w:r>
    </w:p>
    <w:p w14:paraId="7F85FB5B">
      <w:pPr>
        <w:spacing w:line="360" w:lineRule="auto"/>
        <w:ind w:firstLine="600" w:firstLineChars="250"/>
        <w:jc w:val="left"/>
        <w:rPr>
          <w:rFonts w:hint="eastAsia" w:ascii="宋体" w:hAnsi="Times New Roman" w:eastAsia="宋体" w:cs="Times New Roman"/>
          <w:b w:val="0"/>
          <w:bCs/>
          <w:color w:val="auto"/>
          <w:sz w:val="24"/>
          <w:szCs w:val="24"/>
          <w:highlight w:val="none"/>
        </w:rPr>
      </w:pPr>
      <w:r>
        <w:rPr>
          <w:rFonts w:hint="eastAsia" w:ascii="宋体" w:hAnsi="Times New Roman" w:eastAsia="宋体" w:cs="Times New Roman"/>
          <w:b w:val="0"/>
          <w:bCs/>
          <w:color w:val="auto"/>
          <w:sz w:val="24"/>
          <w:szCs w:val="24"/>
          <w:highlight w:val="none"/>
        </w:rPr>
        <w:t>根据日常服务质量进行</w:t>
      </w:r>
      <w:r>
        <w:rPr>
          <w:rFonts w:hint="eastAsia" w:ascii="宋体" w:hAnsi="Times New Roman" w:eastAsia="宋体" w:cs="Times New Roman"/>
          <w:b w:val="0"/>
          <w:bCs/>
          <w:color w:val="auto"/>
          <w:sz w:val="24"/>
          <w:szCs w:val="24"/>
          <w:highlight w:val="none"/>
          <w:lang w:val="en-US" w:eastAsia="zh-CN"/>
        </w:rPr>
        <w:t>年</w:t>
      </w:r>
      <w:r>
        <w:rPr>
          <w:rFonts w:hint="eastAsia" w:ascii="宋体" w:hAnsi="Times New Roman" w:eastAsia="宋体" w:cs="Times New Roman"/>
          <w:b w:val="0"/>
          <w:bCs/>
          <w:color w:val="auto"/>
          <w:sz w:val="24"/>
          <w:szCs w:val="24"/>
          <w:highlight w:val="none"/>
        </w:rPr>
        <w:t>度考核，</w:t>
      </w:r>
      <w:r>
        <w:rPr>
          <w:rFonts w:hint="eastAsia" w:ascii="宋体" w:hAnsi="Times New Roman" w:eastAsia="宋体" w:cs="Times New Roman"/>
          <w:b w:val="0"/>
          <w:bCs/>
          <w:color w:val="auto"/>
          <w:sz w:val="24"/>
          <w:szCs w:val="24"/>
          <w:highlight w:val="none"/>
          <w:lang w:eastAsia="zh-CN"/>
        </w:rPr>
        <w:t>并在每年度前</w:t>
      </w:r>
      <w:r>
        <w:rPr>
          <w:rFonts w:hint="eastAsia" w:ascii="宋体" w:hAnsi="Times New Roman" w:eastAsia="宋体" w:cs="Times New Roman"/>
          <w:b w:val="0"/>
          <w:bCs/>
          <w:color w:val="auto"/>
          <w:sz w:val="24"/>
          <w:szCs w:val="24"/>
          <w:highlight w:val="none"/>
          <w:lang w:val="en-US" w:eastAsia="zh-CN"/>
        </w:rPr>
        <w:t>15日完成考核并</w:t>
      </w:r>
      <w:r>
        <w:rPr>
          <w:rFonts w:hint="eastAsia" w:ascii="宋体" w:hAnsi="Times New Roman" w:eastAsia="宋体" w:cs="Times New Roman"/>
          <w:b w:val="0"/>
          <w:bCs/>
          <w:color w:val="auto"/>
          <w:sz w:val="24"/>
          <w:szCs w:val="24"/>
          <w:highlight w:val="none"/>
        </w:rPr>
        <w:t>记录考核结果，根据考核结果将罚扣</w:t>
      </w:r>
      <w:r>
        <w:rPr>
          <w:rFonts w:hint="eastAsia"/>
          <w:color w:val="auto"/>
          <w:highlight w:val="none"/>
          <w:lang w:val="en-US" w:eastAsia="zh-CN"/>
        </w:rPr>
        <w:t>乙方</w:t>
      </w:r>
      <w:r>
        <w:rPr>
          <w:rFonts w:hint="eastAsia" w:ascii="宋体" w:hAnsi="Times New Roman" w:eastAsia="宋体" w:cs="Times New Roman"/>
          <w:b w:val="0"/>
          <w:bCs/>
          <w:color w:val="auto"/>
          <w:sz w:val="24"/>
          <w:szCs w:val="24"/>
          <w:highlight w:val="none"/>
        </w:rPr>
        <w:t>相应的服务费用。奖惩措施如下：</w:t>
      </w:r>
    </w:p>
    <w:p w14:paraId="712D1A5E">
      <w:pPr>
        <w:spacing w:line="360" w:lineRule="auto"/>
        <w:ind w:firstLine="600" w:firstLineChars="250"/>
        <w:jc w:val="left"/>
        <w:rPr>
          <w:rFonts w:hint="default" w:ascii="宋体" w:hAnsi="Times New Roman" w:eastAsia="宋体" w:cs="Times New Roman"/>
          <w:b w:val="0"/>
          <w:bCs/>
          <w:color w:val="auto"/>
          <w:sz w:val="24"/>
          <w:szCs w:val="24"/>
          <w:highlight w:val="none"/>
          <w:lang w:val="en-US" w:eastAsia="zh-CN"/>
        </w:rPr>
      </w:pPr>
      <w:r>
        <w:rPr>
          <w:rFonts w:hint="default" w:ascii="宋体" w:hAnsi="Times New Roman" w:eastAsia="宋体" w:cs="Times New Roman"/>
          <w:b w:val="0"/>
          <w:bCs/>
          <w:color w:val="auto"/>
          <w:sz w:val="24"/>
          <w:szCs w:val="24"/>
          <w:highlight w:val="none"/>
        </w:rPr>
        <w:t>考核结果分级标准采用百分制</w:t>
      </w:r>
      <w:r>
        <w:rPr>
          <w:rFonts w:hint="eastAsia" w:ascii="宋体" w:hAnsi="Times New Roman" w:eastAsia="宋体" w:cs="Times New Roman"/>
          <w:b w:val="0"/>
          <w:bCs/>
          <w:color w:val="auto"/>
          <w:sz w:val="24"/>
          <w:szCs w:val="24"/>
          <w:highlight w:val="none"/>
          <w:lang w:eastAsia="zh-CN"/>
        </w:rPr>
        <w:t>，</w:t>
      </w:r>
      <w:r>
        <w:rPr>
          <w:rFonts w:hint="default" w:ascii="宋体" w:hAnsi="Times New Roman" w:eastAsia="宋体" w:cs="Times New Roman"/>
          <w:b w:val="0"/>
          <w:bCs/>
          <w:color w:val="auto"/>
          <w:sz w:val="24"/>
          <w:szCs w:val="24"/>
          <w:highlight w:val="none"/>
        </w:rPr>
        <w:t>每个考核项按完成情况评分</w:t>
      </w:r>
      <w:r>
        <w:rPr>
          <w:rFonts w:hint="eastAsia" w:ascii="宋体" w:hAnsi="Times New Roman" w:eastAsia="宋体" w:cs="Times New Roman"/>
          <w:b w:val="0"/>
          <w:bCs/>
          <w:color w:val="auto"/>
          <w:sz w:val="24"/>
          <w:szCs w:val="24"/>
          <w:highlight w:val="none"/>
          <w:lang w:val="en-US" w:eastAsia="zh-CN"/>
        </w:rPr>
        <w:t>,具体如下：</w:t>
      </w:r>
    </w:p>
    <w:p w14:paraId="23C1FED9">
      <w:pPr>
        <w:spacing w:line="360" w:lineRule="auto"/>
        <w:ind w:firstLine="600" w:firstLineChars="250"/>
        <w:jc w:val="left"/>
        <w:rPr>
          <w:rFonts w:hint="eastAsia" w:ascii="宋体" w:hAnsi="Times New Roman" w:eastAsia="宋体" w:cs="Times New Roman"/>
          <w:b w:val="0"/>
          <w:bCs/>
          <w:color w:val="auto"/>
          <w:sz w:val="24"/>
          <w:szCs w:val="24"/>
          <w:highlight w:val="none"/>
          <w:lang w:val="en-US" w:eastAsia="zh-CN"/>
        </w:rPr>
      </w:pPr>
      <w:r>
        <w:rPr>
          <w:rFonts w:hint="eastAsia" w:ascii="宋体" w:hAnsi="Times New Roman" w:eastAsia="宋体" w:cs="Times New Roman"/>
          <w:b w:val="0"/>
          <w:bCs/>
          <w:color w:val="auto"/>
          <w:sz w:val="24"/>
          <w:szCs w:val="24"/>
          <w:highlight w:val="none"/>
          <w:lang w:val="en-US" w:eastAsia="zh-CN"/>
        </w:rPr>
        <w:t>服务考核与奖惩规则：</w:t>
      </w:r>
    </w:p>
    <w:p w14:paraId="40CC63B9">
      <w:pPr>
        <w:spacing w:line="360" w:lineRule="auto"/>
        <w:ind w:firstLine="600" w:firstLineChars="250"/>
        <w:jc w:val="left"/>
        <w:rPr>
          <w:rFonts w:hint="eastAsia" w:ascii="宋体" w:hAnsi="Times New Roman" w:eastAsia="宋体" w:cs="Times New Roman"/>
          <w:b w:val="0"/>
          <w:bCs/>
          <w:color w:val="auto"/>
          <w:sz w:val="24"/>
          <w:szCs w:val="24"/>
          <w:highlight w:val="none"/>
          <w:lang w:val="en-US" w:eastAsia="zh-CN"/>
        </w:rPr>
      </w:pPr>
      <w:r>
        <w:rPr>
          <w:rFonts w:hint="eastAsia" w:ascii="宋体" w:hAnsi="Times New Roman" w:eastAsia="宋体" w:cs="Times New Roman"/>
          <w:b w:val="0"/>
          <w:bCs/>
          <w:color w:val="auto"/>
          <w:sz w:val="24"/>
          <w:szCs w:val="24"/>
          <w:highlight w:val="none"/>
          <w:lang w:val="en-US" w:eastAsia="zh-CN"/>
        </w:rPr>
        <w:t>A级：85分及以上</w:t>
      </w:r>
      <w:r>
        <w:rPr>
          <w:rFonts w:hint="eastAsia" w:ascii="宋体" w:hAnsi="Times New Roman" w:cs="Times New Roman"/>
          <w:b w:val="0"/>
          <w:bCs/>
          <w:color w:val="auto"/>
          <w:sz w:val="24"/>
          <w:szCs w:val="24"/>
          <w:highlight w:val="none"/>
          <w:lang w:val="en-US" w:eastAsia="zh-CN"/>
        </w:rPr>
        <w:t>,</w:t>
      </w:r>
      <w:r>
        <w:rPr>
          <w:rFonts w:hint="eastAsia" w:ascii="宋体" w:hAnsi="Times New Roman" w:eastAsia="宋体" w:cs="Times New Roman"/>
          <w:b w:val="0"/>
          <w:bCs/>
          <w:color w:val="auto"/>
          <w:sz w:val="24"/>
          <w:szCs w:val="24"/>
          <w:highlight w:val="none"/>
          <w:lang w:val="en-US" w:eastAsia="zh-CN"/>
        </w:rPr>
        <w:t>针对问题情况</w:t>
      </w:r>
      <w:r>
        <w:rPr>
          <w:rFonts w:hint="eastAsia" w:ascii="宋体" w:hAnsi="Times New Roman" w:cs="Times New Roman"/>
          <w:b w:val="0"/>
          <w:bCs/>
          <w:color w:val="auto"/>
          <w:sz w:val="24"/>
          <w:szCs w:val="24"/>
          <w:highlight w:val="none"/>
          <w:lang w:val="en-US" w:eastAsia="zh-CN"/>
        </w:rPr>
        <w:t>乙方</w:t>
      </w:r>
      <w:r>
        <w:rPr>
          <w:rFonts w:hint="eastAsia" w:ascii="宋体" w:hAnsi="Times New Roman" w:eastAsia="宋体" w:cs="Times New Roman"/>
          <w:b w:val="0"/>
          <w:bCs/>
          <w:color w:val="auto"/>
          <w:sz w:val="24"/>
          <w:szCs w:val="24"/>
          <w:highlight w:val="none"/>
          <w:lang w:val="en-US" w:eastAsia="zh-CN"/>
        </w:rPr>
        <w:t>需在3个工作日内提交问题整改报告，甲方全额支付服务费用，</w:t>
      </w:r>
    </w:p>
    <w:p w14:paraId="5FB87EAB">
      <w:pPr>
        <w:spacing w:line="360" w:lineRule="auto"/>
        <w:ind w:firstLine="600" w:firstLineChars="250"/>
        <w:jc w:val="left"/>
        <w:rPr>
          <w:rFonts w:hint="eastAsia" w:ascii="宋体" w:hAnsi="Times New Roman" w:eastAsia="宋体" w:cs="Times New Roman"/>
          <w:b w:val="0"/>
          <w:bCs/>
          <w:color w:val="auto"/>
          <w:sz w:val="24"/>
          <w:szCs w:val="24"/>
          <w:highlight w:val="none"/>
          <w:lang w:val="en-US" w:eastAsia="zh-CN"/>
        </w:rPr>
      </w:pPr>
      <w:r>
        <w:rPr>
          <w:rFonts w:hint="eastAsia" w:ascii="宋体" w:hAnsi="Times New Roman" w:eastAsia="宋体" w:cs="Times New Roman"/>
          <w:b w:val="0"/>
          <w:bCs/>
          <w:color w:val="auto"/>
          <w:sz w:val="24"/>
          <w:szCs w:val="24"/>
          <w:highlight w:val="none"/>
          <w:lang w:val="en-US" w:eastAsia="zh-CN"/>
        </w:rPr>
        <w:t>B级：80-85分</w:t>
      </w:r>
      <w:r>
        <w:rPr>
          <w:rFonts w:hint="eastAsia" w:ascii="宋体" w:hAnsi="Times New Roman" w:cs="Times New Roman"/>
          <w:b w:val="0"/>
          <w:bCs/>
          <w:color w:val="auto"/>
          <w:sz w:val="24"/>
          <w:szCs w:val="24"/>
          <w:highlight w:val="none"/>
          <w:lang w:val="en-US" w:eastAsia="zh-CN"/>
        </w:rPr>
        <w:t>，</w:t>
      </w:r>
      <w:r>
        <w:rPr>
          <w:rFonts w:hint="eastAsia" w:ascii="宋体" w:hAnsi="Times New Roman" w:eastAsia="宋体" w:cs="Times New Roman"/>
          <w:b w:val="0"/>
          <w:bCs/>
          <w:color w:val="auto"/>
          <w:sz w:val="24"/>
          <w:szCs w:val="24"/>
          <w:highlight w:val="none"/>
          <w:lang w:val="en-US" w:eastAsia="zh-CN"/>
        </w:rPr>
        <w:t>每扣1分，对应扣0.5%管理费 例：当期折扣金额 = 当期应付管理费总额 ×（</w:t>
      </w:r>
      <w:r>
        <w:rPr>
          <w:rFonts w:hint="eastAsia" w:ascii="宋体" w:hAnsi="Times New Roman" w:cs="Times New Roman"/>
          <w:b w:val="0"/>
          <w:bCs/>
          <w:color w:val="auto"/>
          <w:sz w:val="24"/>
          <w:szCs w:val="24"/>
          <w:highlight w:val="none"/>
          <w:lang w:val="en-US" w:eastAsia="zh-CN"/>
        </w:rPr>
        <w:t>累计扣分数</w:t>
      </w:r>
      <w:r>
        <w:rPr>
          <w:rFonts w:hint="eastAsia" w:ascii="宋体" w:hAnsi="Times New Roman" w:eastAsia="宋体" w:cs="Times New Roman"/>
          <w:b w:val="0"/>
          <w:bCs/>
          <w:color w:val="auto"/>
          <w:sz w:val="24"/>
          <w:szCs w:val="24"/>
          <w:highlight w:val="none"/>
          <w:lang w:val="en-US" w:eastAsia="zh-CN"/>
        </w:rPr>
        <w:t>× 0.5%</w:t>
      </w:r>
      <w:r>
        <w:rPr>
          <w:rFonts w:hint="eastAsia" w:ascii="宋体" w:hAnsi="Times New Roman" w:cs="Times New Roman"/>
          <w:b w:val="0"/>
          <w:bCs/>
          <w:color w:val="auto"/>
          <w:sz w:val="24"/>
          <w:szCs w:val="24"/>
          <w:highlight w:val="none"/>
          <w:lang w:val="en-US" w:eastAsia="zh-CN"/>
        </w:rPr>
        <w:t>）</w:t>
      </w:r>
    </w:p>
    <w:p w14:paraId="52FBEC77">
      <w:pPr>
        <w:keepNext w:val="0"/>
        <w:keepLines w:val="0"/>
        <w:pageBreakBefore w:val="0"/>
        <w:numPr>
          <w:ilvl w:val="0"/>
          <w:numId w:val="0"/>
        </w:numPr>
        <w:kinsoku/>
        <w:wordWrap/>
        <w:overflowPunct/>
        <w:topLinePunct w:val="0"/>
        <w:autoSpaceDE/>
        <w:autoSpaceDN/>
        <w:bidi w:val="0"/>
        <w:adjustRightInd/>
        <w:snapToGrid/>
        <w:spacing w:line="360" w:lineRule="auto"/>
        <w:ind w:left="0" w:right="0" w:firstLine="0" w:firstLineChars="0"/>
        <w:jc w:val="both"/>
        <w:rPr>
          <w:rFonts w:hint="default" w:ascii="宋体" w:hAnsi="宋体" w:cs="宋体"/>
          <w:color w:val="auto"/>
          <w:spacing w:val="15"/>
          <w:sz w:val="21"/>
          <w:szCs w:val="21"/>
          <w:highlight w:val="none"/>
          <w:lang w:val="en-US" w:eastAsia="zh-CN"/>
        </w:rPr>
      </w:pPr>
      <w:r>
        <w:rPr>
          <w:rFonts w:hint="eastAsia" w:ascii="宋体" w:hAnsi="宋体" w:cs="宋体"/>
          <w:color w:val="auto"/>
          <w:spacing w:val="15"/>
          <w:sz w:val="21"/>
          <w:szCs w:val="21"/>
          <w:highlight w:val="none"/>
          <w:lang w:val="en-US" w:eastAsia="zh-CN"/>
        </w:rPr>
        <w:t xml:space="preserve">    C级：（80分以下），不续签下个年度合同，在履约期间同时有中止合同的权力，不承担相应责任。对应扣40%的管理费</w:t>
      </w:r>
    </w:p>
    <w:tbl>
      <w:tblPr>
        <w:tblStyle w:val="26"/>
        <w:tblW w:w="85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5"/>
        <w:gridCol w:w="1226"/>
        <w:gridCol w:w="638"/>
        <w:gridCol w:w="3926"/>
        <w:gridCol w:w="1630"/>
      </w:tblGrid>
      <w:tr w14:paraId="0742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8505" w:type="dxa"/>
            <w:gridSpan w:val="5"/>
            <w:tcBorders>
              <w:top w:val="single" w:color="000000" w:sz="4" w:space="0"/>
              <w:left w:val="single" w:color="000000" w:sz="4" w:space="0"/>
              <w:bottom w:val="single" w:color="000000" w:sz="4" w:space="0"/>
              <w:right w:val="single" w:color="000000" w:sz="4" w:space="0"/>
            </w:tcBorders>
            <w:noWrap w:val="0"/>
            <w:vAlign w:val="center"/>
          </w:tcPr>
          <w:p w14:paraId="762A1B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2"/>
                <w:szCs w:val="22"/>
                <w:highlight w:val="none"/>
                <w:lang w:val="en-US" w:eastAsia="zh-CN"/>
              </w:rPr>
              <w:t>季度考核评分表</w:t>
            </w:r>
          </w:p>
        </w:tc>
      </w:tr>
      <w:tr w14:paraId="1050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87D0A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评分维度</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522766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具体指标</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6A1B84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分值</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078CDA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评分细则</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E7266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b/>
                <w:bCs/>
                <w:color w:val="auto"/>
                <w:spacing w:val="15"/>
                <w:sz w:val="21"/>
                <w:szCs w:val="21"/>
                <w:highlight w:val="none"/>
                <w:lang w:val="en-US" w:eastAsia="zh-CN"/>
              </w:rPr>
              <w:t>直接扣罚项</w:t>
            </w:r>
          </w:p>
        </w:tc>
      </w:tr>
      <w:tr w14:paraId="1056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40EB463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人员管理</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lang w:val="en-US" w:eastAsia="zh-CN"/>
              </w:rPr>
              <w:t>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78B5E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人员配备合理性</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1B065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2DACB0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积极招聘及时补员，严格控制补员周期在1个月内得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分，招聘周期超过1个月，扣1分。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7B88DD0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p>
        </w:tc>
      </w:tr>
      <w:tr w14:paraId="627A5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0DB2E7">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795BC50C">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投诉情况</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5AAF838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34B122C3">
            <w:pPr>
              <w:keepNext w:val="0"/>
              <w:keepLines w:val="0"/>
              <w:widowControl/>
              <w:suppressLineNumbers w:val="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无投诉得</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分，因人为原因，例如服务态度等投诉每次扣1分。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3D8BD02">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如发生重大投诉或群体性投诉事件，另加扣200元/次</w:t>
            </w:r>
          </w:p>
        </w:tc>
      </w:tr>
      <w:tr w14:paraId="7A95F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FDDD2B">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CABA5F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合同续签</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5C96C892">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332855B1">
            <w:pPr>
              <w:keepNext w:val="0"/>
              <w:keepLines w:val="0"/>
              <w:widowControl/>
              <w:suppressLineNumbers w:val="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新员工入职内及老员工续签劳动合同规范签订，保证用工规范性得</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分；签订不及时，扣0.5分。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610A098">
            <w:pPr>
              <w:jc w:val="center"/>
              <w:rPr>
                <w:rFonts w:hint="eastAsia" w:ascii="宋体" w:hAnsi="宋体" w:eastAsia="宋体" w:cs="宋体"/>
                <w:color w:val="auto"/>
                <w:kern w:val="2"/>
                <w:sz w:val="21"/>
                <w:szCs w:val="21"/>
                <w:highlight w:val="none"/>
                <w:lang w:val="en-US" w:eastAsia="zh-CN" w:bidi="ar-SA"/>
              </w:rPr>
            </w:pPr>
          </w:p>
        </w:tc>
      </w:tr>
      <w:tr w14:paraId="05FAD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26B3D">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D1155B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社保缴纳及时性</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42E18D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18629801">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及时购买社保得</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分；购买不及时，扣0.5分。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FFA2F8C">
            <w:pPr>
              <w:jc w:val="center"/>
              <w:rPr>
                <w:rFonts w:hint="eastAsia" w:ascii="宋体" w:hAnsi="宋体" w:eastAsia="宋体" w:cs="宋体"/>
                <w:color w:val="auto"/>
                <w:kern w:val="2"/>
                <w:sz w:val="21"/>
                <w:szCs w:val="21"/>
                <w:highlight w:val="none"/>
                <w:lang w:val="en-US" w:eastAsia="zh-CN" w:bidi="ar-SA"/>
              </w:rPr>
            </w:pPr>
          </w:p>
        </w:tc>
      </w:tr>
      <w:tr w14:paraId="76D4E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059E0">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62C55E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薪资发放及时性</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C4DC1E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0BEE4628">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工资按时发放率100%得</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分，每延迟1天扣0.</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w:t>
            </w:r>
          </w:p>
        </w:tc>
        <w:tc>
          <w:tcPr>
            <w:tcW w:w="1630" w:type="dxa"/>
            <w:tcBorders>
              <w:top w:val="single" w:color="000000" w:sz="4" w:space="0"/>
              <w:left w:val="single" w:color="000000" w:sz="4" w:space="0"/>
              <w:bottom w:val="single" w:color="000000" w:sz="4" w:space="0"/>
              <w:right w:val="single" w:color="000000" w:sz="4" w:space="0"/>
            </w:tcBorders>
            <w:noWrap/>
            <w:vAlign w:val="center"/>
          </w:tcPr>
          <w:p w14:paraId="7412233F">
            <w:pPr>
              <w:jc w:val="center"/>
              <w:rPr>
                <w:rFonts w:hint="eastAsia" w:ascii="宋体" w:hAnsi="宋体" w:eastAsia="宋体" w:cs="宋体"/>
                <w:color w:val="auto"/>
                <w:kern w:val="2"/>
                <w:sz w:val="21"/>
                <w:szCs w:val="21"/>
                <w:highlight w:val="none"/>
                <w:lang w:val="en-US" w:eastAsia="zh-CN" w:bidi="ar-SA"/>
              </w:rPr>
            </w:pPr>
          </w:p>
        </w:tc>
      </w:tr>
      <w:tr w14:paraId="6020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B77B">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551416F">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考勤与行为规范</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022B6382">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52BC3BE7">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使用数字化考勤工具，无代打卡等违规行为得</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 xml:space="preserve">分，每违规一次扣0.5分。 </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62E0BBE5">
            <w:pPr>
              <w:jc w:val="center"/>
              <w:rPr>
                <w:rFonts w:hint="eastAsia" w:ascii="宋体" w:hAnsi="宋体" w:eastAsia="宋体" w:cs="宋体"/>
                <w:color w:val="auto"/>
                <w:kern w:val="2"/>
                <w:sz w:val="21"/>
                <w:szCs w:val="21"/>
                <w:highlight w:val="none"/>
                <w:lang w:val="en-US" w:eastAsia="zh-CN" w:bidi="ar-SA"/>
              </w:rPr>
            </w:pPr>
          </w:p>
        </w:tc>
      </w:tr>
      <w:tr w14:paraId="365D4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1B1A46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安全管理</w:t>
            </w:r>
          </w:p>
          <w:p w14:paraId="357BE5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FDCFE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生产操作合规</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0AFBD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055313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按要求进行生产操作，保证生产安全与水质安全得10分，有</w:t>
            </w:r>
            <w:r>
              <w:rPr>
                <w:rFonts w:hint="eastAsia" w:ascii="宋体" w:hAnsi="宋体" w:eastAsia="宋体" w:cs="宋体"/>
                <w:color w:val="auto"/>
                <w:kern w:val="2"/>
                <w:sz w:val="21"/>
                <w:szCs w:val="21"/>
                <w:highlight w:val="none"/>
                <w:lang w:val="en-US" w:eastAsia="zh-CN" w:bidi="ar-SA"/>
              </w:rPr>
              <w:t>违规操作导致安全生产事故和水质事故</w:t>
            </w:r>
            <w:r>
              <w:rPr>
                <w:rFonts w:hint="eastAsia" w:ascii="宋体" w:hAnsi="宋体" w:cs="宋体"/>
                <w:color w:val="auto"/>
                <w:kern w:val="2"/>
                <w:sz w:val="21"/>
                <w:szCs w:val="21"/>
                <w:highlight w:val="none"/>
                <w:lang w:val="en-US" w:eastAsia="zh-CN" w:bidi="ar-SA"/>
              </w:rPr>
              <w:t>出现事故扣10分。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63730E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违规操作导致安全生产事故和水质事故，另加扣1000-5000元/次，并处罚责任人。</w:t>
            </w:r>
          </w:p>
        </w:tc>
      </w:tr>
      <w:tr w14:paraId="780C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57B376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水质管控</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（5分）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E1BC3C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水质检测合格率</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15D4C6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4DEC346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厂站检测结果合格率98%以上达标得5分，每降1%扣0.5分。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66A43DD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以政府抽查数据为主</w:t>
            </w:r>
          </w:p>
        </w:tc>
      </w:tr>
      <w:tr w14:paraId="6C26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078A8D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工作管控</w:t>
            </w:r>
          </w:p>
          <w:p w14:paraId="1971C19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（15分）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525F74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厂站管理</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5F07F8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40D32B4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无问题得5分，检查</w:t>
            </w:r>
            <w:r>
              <w:rPr>
                <w:rFonts w:hint="eastAsia" w:ascii="宋体" w:hAnsi="宋体" w:cs="宋体"/>
                <w:color w:val="auto"/>
                <w:kern w:val="2"/>
                <w:sz w:val="21"/>
                <w:szCs w:val="21"/>
                <w:highlight w:val="none"/>
                <w:lang w:val="en-US" w:eastAsia="zh-CN" w:bidi="ar-SA"/>
              </w:rPr>
              <w:t>有问题</w:t>
            </w:r>
            <w:r>
              <w:rPr>
                <w:rFonts w:hint="eastAsia" w:ascii="宋体" w:hAnsi="宋体" w:eastAsia="宋体" w:cs="宋体"/>
                <w:color w:val="auto"/>
                <w:kern w:val="2"/>
                <w:sz w:val="21"/>
                <w:szCs w:val="21"/>
                <w:highlight w:val="none"/>
                <w:lang w:val="en-US" w:eastAsia="zh-CN" w:bidi="ar-SA"/>
              </w:rPr>
              <w:t>每处一次扣0.1分。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8EDE5C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p>
        </w:tc>
      </w:tr>
      <w:tr w14:paraId="0CCA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1AF0A9">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728CA1D">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管网管理</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06C1BB9E">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5E2CF27F">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无问题得5分，检查</w:t>
            </w:r>
            <w:r>
              <w:rPr>
                <w:rFonts w:hint="eastAsia" w:ascii="宋体" w:hAnsi="宋体" w:cs="宋体"/>
                <w:color w:val="auto"/>
                <w:kern w:val="2"/>
                <w:sz w:val="21"/>
                <w:szCs w:val="21"/>
                <w:highlight w:val="none"/>
                <w:lang w:val="en-US" w:eastAsia="zh-CN" w:bidi="ar-SA"/>
              </w:rPr>
              <w:t>有问题</w:t>
            </w:r>
            <w:r>
              <w:rPr>
                <w:rFonts w:hint="eastAsia" w:ascii="宋体" w:hAnsi="宋体" w:eastAsia="宋体" w:cs="宋体"/>
                <w:color w:val="auto"/>
                <w:kern w:val="2"/>
                <w:sz w:val="21"/>
                <w:szCs w:val="21"/>
                <w:highlight w:val="none"/>
                <w:lang w:val="en-US" w:eastAsia="zh-CN" w:bidi="ar-SA"/>
              </w:rPr>
              <w:t>每处一次扣0.1分。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519705D2">
            <w:pPr>
              <w:jc w:val="center"/>
              <w:rPr>
                <w:rFonts w:hint="eastAsia" w:ascii="宋体" w:hAnsi="宋体" w:eastAsia="宋体" w:cs="宋体"/>
                <w:color w:val="auto"/>
                <w:kern w:val="2"/>
                <w:sz w:val="21"/>
                <w:szCs w:val="21"/>
                <w:highlight w:val="none"/>
                <w:lang w:val="en-US" w:eastAsia="zh-CN" w:bidi="ar-SA"/>
              </w:rPr>
            </w:pPr>
          </w:p>
        </w:tc>
      </w:tr>
      <w:tr w14:paraId="21B9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4A173">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B7E3B4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投诉处理</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312124B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2D173560">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日常运维中被人投诉问题，核实后属于日常工作的每次扣0.5分。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006DD998">
            <w:pPr>
              <w:jc w:val="center"/>
              <w:rPr>
                <w:rFonts w:hint="eastAsia" w:ascii="宋体" w:hAnsi="宋体" w:eastAsia="宋体" w:cs="宋体"/>
                <w:color w:val="auto"/>
                <w:kern w:val="2"/>
                <w:sz w:val="21"/>
                <w:szCs w:val="21"/>
                <w:highlight w:val="none"/>
                <w:lang w:val="en-US" w:eastAsia="zh-CN" w:bidi="ar-SA"/>
              </w:rPr>
            </w:pPr>
          </w:p>
        </w:tc>
      </w:tr>
      <w:tr w14:paraId="71B48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0210E27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卫生与合规管理</w:t>
            </w:r>
          </w:p>
          <w:p w14:paraId="57B04E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761DA9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作业现场清洁</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4ACDB6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52C543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施工后清理达标得3分，未清理扣0.5分/次。</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74A9CCB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p>
        </w:tc>
      </w:tr>
      <w:tr w14:paraId="4B5E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76186E">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57C9862">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设备卫生状况</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093517A5">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3D483C60">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设备无污渍、异味得2分，发现一处扣0.1分。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0F07EA4C">
            <w:pPr>
              <w:jc w:val="center"/>
              <w:rPr>
                <w:rFonts w:hint="eastAsia" w:ascii="宋体" w:hAnsi="宋体" w:eastAsia="宋体" w:cs="宋体"/>
                <w:color w:val="auto"/>
                <w:kern w:val="2"/>
                <w:sz w:val="21"/>
                <w:szCs w:val="21"/>
                <w:highlight w:val="none"/>
                <w:lang w:val="en-US" w:eastAsia="zh-CN" w:bidi="ar-SA"/>
              </w:rPr>
            </w:pPr>
          </w:p>
        </w:tc>
      </w:tr>
      <w:tr w14:paraId="50EB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780D886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应急响应时效</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（10分）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0E211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处置措施有效性</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270DBB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5BDFC3B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措施得当且未扩大影响得5分，措施不当扣0.5分/次。</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E580A7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p>
        </w:tc>
      </w:tr>
      <w:tr w14:paraId="16AC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A4188">
            <w:pPr>
              <w:jc w:val="center"/>
              <w:rPr>
                <w:rFonts w:hint="eastAsia" w:ascii="宋体" w:hAnsi="宋体" w:eastAsia="宋体" w:cs="宋体"/>
                <w:color w:val="auto"/>
                <w:kern w:val="2"/>
                <w:sz w:val="21"/>
                <w:szCs w:val="21"/>
                <w:highlight w:val="none"/>
                <w:lang w:val="en-US" w:eastAsia="zh-CN" w:bidi="ar-SA"/>
              </w:rPr>
            </w:pP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5D7675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应急培训与教育</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427E3D7">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16BEF4F0">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每半年定期组织得5分，未按要求每次扣</w:t>
            </w:r>
            <w:r>
              <w:rPr>
                <w:rFonts w:hint="eastAsia" w:ascii="宋体" w:hAnsi="宋体" w:cs="宋体"/>
                <w:color w:val="auto"/>
                <w:kern w:val="2"/>
                <w:sz w:val="21"/>
                <w:szCs w:val="21"/>
                <w:highlight w:val="none"/>
                <w:lang w:val="en-US" w:eastAsia="zh-CN" w:bidi="ar-SA"/>
              </w:rPr>
              <w:t>2.5</w:t>
            </w:r>
            <w:r>
              <w:rPr>
                <w:rFonts w:hint="eastAsia" w:ascii="宋体" w:hAnsi="宋体" w:eastAsia="宋体" w:cs="宋体"/>
                <w:color w:val="auto"/>
                <w:kern w:val="2"/>
                <w:sz w:val="21"/>
                <w:szCs w:val="21"/>
                <w:highlight w:val="none"/>
                <w:lang w:val="en-US" w:eastAsia="zh-CN" w:bidi="ar-SA"/>
              </w:rPr>
              <w:t>分。（扣完为止）</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B08F6F9">
            <w:pPr>
              <w:jc w:val="center"/>
              <w:rPr>
                <w:rFonts w:hint="eastAsia" w:ascii="宋体" w:hAnsi="宋体" w:eastAsia="宋体" w:cs="宋体"/>
                <w:color w:val="auto"/>
                <w:kern w:val="2"/>
                <w:sz w:val="21"/>
                <w:szCs w:val="21"/>
                <w:highlight w:val="none"/>
                <w:lang w:val="en-US" w:eastAsia="zh-CN" w:bidi="ar-SA"/>
              </w:rPr>
            </w:pPr>
          </w:p>
        </w:tc>
      </w:tr>
      <w:tr w14:paraId="2190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78F609CF">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台账管理</w:t>
            </w:r>
          </w:p>
          <w:p w14:paraId="6A9A2BDD">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（30分）</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7AE22BE">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各种报表登记的完整性</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0DF3188">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3926" w:type="dxa"/>
            <w:tcBorders>
              <w:top w:val="single" w:color="000000" w:sz="4" w:space="0"/>
              <w:left w:val="single" w:color="000000" w:sz="4" w:space="0"/>
              <w:bottom w:val="single" w:color="000000" w:sz="4" w:space="0"/>
              <w:right w:val="single" w:color="000000" w:sz="4" w:space="0"/>
            </w:tcBorders>
            <w:noWrap w:val="0"/>
            <w:vAlign w:val="center"/>
          </w:tcPr>
          <w:p w14:paraId="500FA8FD">
            <w:pPr>
              <w:keepNext w:val="0"/>
              <w:keepLines w:val="0"/>
              <w:widowControl/>
              <w:suppressLineNumbers w:val="0"/>
              <w:jc w:val="left"/>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按公司要求及时完成各类运维报表、药剂报表、维修台账等登记完整、规范，未按要求登记或登记不完整的每个扣0.5分。</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576A1CE0">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按每站每项累计</w:t>
            </w:r>
          </w:p>
        </w:tc>
      </w:tr>
    </w:tbl>
    <w:p w14:paraId="08C05056">
      <w:pPr>
        <w:pStyle w:val="7"/>
        <w:rPr>
          <w:color w:val="auto"/>
          <w:highlight w:val="none"/>
        </w:rPr>
      </w:pPr>
      <w:r>
        <w:rPr>
          <w:rFonts w:hint="eastAsia" w:ascii="宋体" w:hAnsi="Times New Roman" w:eastAsia="宋体" w:cs="Times New Roman"/>
          <w:b/>
          <w:bCs w:val="0"/>
          <w:color w:val="auto"/>
          <w:sz w:val="24"/>
          <w:szCs w:val="24"/>
          <w:highlight w:val="none"/>
          <w:lang w:val="en-US" w:eastAsia="zh-CN"/>
        </w:rPr>
        <w:t>备注：本考核表由业主单位根据日常服务质量进行年度考核，作为下个合同续签和年度付款依据</w:t>
      </w:r>
      <w:r>
        <w:rPr>
          <w:rFonts w:hint="eastAsia" w:ascii="宋体" w:hAnsi="Times New Roman" w:eastAsia="宋体" w:cs="Times New Roman"/>
          <w:b w:val="0"/>
          <w:bCs/>
          <w:color w:val="auto"/>
          <w:sz w:val="24"/>
          <w:szCs w:val="24"/>
          <w:highlight w:val="none"/>
          <w:lang w:val="en-US" w:eastAsia="zh-CN"/>
        </w:rPr>
        <w:t>。</w:t>
      </w:r>
    </w:p>
    <w:p w14:paraId="066AE201">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1.</w:t>
      </w:r>
      <w:r>
        <w:rPr>
          <w:rFonts w:hint="eastAsia" w:ascii="宋体" w:hAnsi="宋体" w:cs="@仿宋_GB2312"/>
          <w:b/>
          <w:bCs/>
          <w:color w:val="auto"/>
          <w:sz w:val="24"/>
          <w:szCs w:val="20"/>
          <w:highlight w:val="none"/>
          <w:lang w:val="en-US" w:eastAsia="zh-CN"/>
        </w:rPr>
        <w:t>9</w:t>
      </w:r>
      <w:r>
        <w:rPr>
          <w:rFonts w:ascii="宋体" w:hAnsi="宋体" w:cs="@仿宋_GB2312"/>
          <w:b/>
          <w:bCs/>
          <w:color w:val="auto"/>
          <w:sz w:val="24"/>
          <w:szCs w:val="20"/>
          <w:highlight w:val="none"/>
          <w:lang w:val="zh-CN"/>
        </w:rPr>
        <w:t xml:space="preserve"> 合同生效</w:t>
      </w:r>
    </w:p>
    <w:p w14:paraId="396B2A16">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本合同自</w:t>
      </w:r>
      <w:r>
        <w:rPr>
          <w:rFonts w:hint="eastAsia" w:ascii="宋体" w:hAnsi="宋体" w:cs="@仿宋_GB2312"/>
          <w:color w:val="auto"/>
          <w:sz w:val="24"/>
          <w:szCs w:val="20"/>
          <w:highlight w:val="none"/>
        </w:rPr>
        <w:t>双方当事人盖章时</w:t>
      </w:r>
      <w:r>
        <w:rPr>
          <w:rFonts w:ascii="宋体" w:hAnsi="宋体" w:cs="@仿宋_GB2312"/>
          <w:color w:val="auto"/>
          <w:sz w:val="24"/>
          <w:szCs w:val="20"/>
          <w:highlight w:val="none"/>
        </w:rPr>
        <w:t>生效。</w:t>
      </w:r>
    </w:p>
    <w:p w14:paraId="4A217F00">
      <w:pPr>
        <w:autoSpaceDE w:val="0"/>
        <w:autoSpaceDN w:val="0"/>
        <w:adjustRightInd w:val="0"/>
        <w:spacing w:line="560" w:lineRule="exact"/>
        <w:outlineLvl w:val="9"/>
        <w:rPr>
          <w:rFonts w:ascii="宋体" w:hAnsi="宋体" w:cs="@仿宋_GB2312"/>
          <w:color w:val="auto"/>
          <w:sz w:val="24"/>
          <w:szCs w:val="20"/>
          <w:highlight w:val="none"/>
          <w:lang w:val="zh-CN"/>
        </w:rPr>
      </w:pPr>
    </w:p>
    <w:p w14:paraId="43C5D7AC">
      <w:pPr>
        <w:autoSpaceDE w:val="0"/>
        <w:autoSpaceDN w:val="0"/>
        <w:adjustRightInd w:val="0"/>
        <w:spacing w:line="560" w:lineRule="exact"/>
        <w:outlineLvl w:val="9"/>
        <w:rPr>
          <w:rFonts w:ascii="宋体" w:hAnsi="宋体"/>
          <w:bCs/>
          <w:color w:val="auto"/>
          <w:sz w:val="24"/>
          <w:szCs w:val="24"/>
          <w:highlight w:val="none"/>
          <w:lang w:val="zh-CN"/>
        </w:rPr>
      </w:pPr>
      <w:r>
        <w:rPr>
          <w:rFonts w:hint="eastAsia" w:ascii="宋体" w:hAnsi="宋体"/>
          <w:bCs/>
          <w:color w:val="auto"/>
          <w:sz w:val="24"/>
          <w:szCs w:val="24"/>
          <w:highlight w:val="none"/>
          <w:lang w:val="zh-CN"/>
        </w:rPr>
        <w:t xml:space="preserve">甲 </w:t>
      </w:r>
      <w:r>
        <w:rPr>
          <w:rFonts w:ascii="宋体" w:hAnsi="宋体"/>
          <w:bCs/>
          <w:color w:val="auto"/>
          <w:sz w:val="24"/>
          <w:szCs w:val="24"/>
          <w:highlight w:val="none"/>
          <w:lang w:val="zh-CN"/>
        </w:rPr>
        <w:t xml:space="preserve">   </w:t>
      </w:r>
      <w:r>
        <w:rPr>
          <w:rFonts w:hint="eastAsia" w:ascii="宋体" w:hAnsi="宋体"/>
          <w:bCs/>
          <w:color w:val="auto"/>
          <w:sz w:val="24"/>
          <w:szCs w:val="24"/>
          <w:highlight w:val="none"/>
          <w:lang w:val="zh-CN"/>
        </w:rPr>
        <w:t>方：</w:t>
      </w:r>
      <w:r>
        <w:rPr>
          <w:rFonts w:hint="eastAsia" w:ascii="宋体" w:hAnsi="宋体"/>
          <w:bCs/>
          <w:color w:val="auto"/>
          <w:sz w:val="24"/>
          <w:szCs w:val="24"/>
          <w:highlight w:val="none"/>
          <w:u w:val="single"/>
          <w:lang w:val="zh-CN"/>
        </w:rPr>
        <w:t xml:space="preserve">    （单位盖章）     </w:t>
      </w:r>
      <w:r>
        <w:rPr>
          <w:rFonts w:hint="eastAsia" w:ascii="宋体" w:hAnsi="宋体"/>
          <w:bCs/>
          <w:color w:val="auto"/>
          <w:sz w:val="24"/>
          <w:szCs w:val="24"/>
          <w:highlight w:val="none"/>
          <w:lang w:val="zh-CN"/>
        </w:rPr>
        <w:t xml:space="preserve">          乙方：</w:t>
      </w:r>
      <w:r>
        <w:rPr>
          <w:rFonts w:hint="eastAsia" w:ascii="宋体" w:hAnsi="宋体"/>
          <w:bCs/>
          <w:color w:val="auto"/>
          <w:sz w:val="24"/>
          <w:szCs w:val="24"/>
          <w:highlight w:val="none"/>
          <w:u w:val="single"/>
          <w:lang w:val="zh-CN"/>
        </w:rPr>
        <w:t xml:space="preserve">    （单位盖章）     </w:t>
      </w:r>
    </w:p>
    <w:p w14:paraId="31AD150F">
      <w:pPr>
        <w:autoSpaceDE w:val="0"/>
        <w:autoSpaceDN w:val="0"/>
        <w:adjustRightInd w:val="0"/>
        <w:spacing w:line="560" w:lineRule="exact"/>
        <w:outlineLvl w:val="9"/>
        <w:rPr>
          <w:rFonts w:ascii="宋体" w:hAnsi="宋体"/>
          <w:color w:val="auto"/>
          <w:sz w:val="24"/>
          <w:szCs w:val="24"/>
          <w:highlight w:val="none"/>
          <w:lang w:val="zh-CN"/>
        </w:rPr>
      </w:pPr>
      <w:r>
        <w:rPr>
          <w:rFonts w:hint="eastAsia" w:ascii="宋体" w:hAnsi="宋体"/>
          <w:color w:val="auto"/>
          <w:sz w:val="24"/>
          <w:szCs w:val="24"/>
          <w:highlight w:val="none"/>
          <w:lang w:val="zh-CN"/>
        </w:rPr>
        <w:t xml:space="preserve">法定代表人                             </w:t>
      </w:r>
      <w:r>
        <w:rPr>
          <w:rFonts w:ascii="宋体" w:hAnsi="宋体"/>
          <w:color w:val="auto"/>
          <w:sz w:val="24"/>
          <w:szCs w:val="24"/>
          <w:highlight w:val="none"/>
          <w:lang w:val="zh-CN"/>
        </w:rPr>
        <w:t xml:space="preserve">  </w:t>
      </w:r>
      <w:r>
        <w:rPr>
          <w:rFonts w:hint="eastAsia" w:ascii="宋体" w:hAnsi="宋体"/>
          <w:color w:val="auto"/>
          <w:sz w:val="24"/>
          <w:szCs w:val="24"/>
          <w:highlight w:val="none"/>
          <w:lang w:val="zh-CN"/>
        </w:rPr>
        <w:t>法定代表人</w:t>
      </w:r>
    </w:p>
    <w:p w14:paraId="740F1FE5">
      <w:pPr>
        <w:autoSpaceDE w:val="0"/>
        <w:autoSpaceDN w:val="0"/>
        <w:adjustRightInd w:val="0"/>
        <w:spacing w:line="560" w:lineRule="exact"/>
        <w:outlineLvl w:val="9"/>
        <w:rPr>
          <w:rFonts w:ascii="宋体" w:hAnsi="宋体"/>
          <w:color w:val="auto"/>
          <w:sz w:val="24"/>
          <w:szCs w:val="24"/>
          <w:highlight w:val="none"/>
          <w:lang w:val="zh-CN"/>
        </w:rPr>
      </w:pPr>
      <w:r>
        <w:rPr>
          <w:rFonts w:hint="eastAsia" w:ascii="宋体" w:hAnsi="宋体"/>
          <w:color w:val="auto"/>
          <w:sz w:val="24"/>
          <w:szCs w:val="24"/>
          <w:highlight w:val="none"/>
          <w:lang w:val="zh-CN"/>
        </w:rPr>
        <w:t>或授权代表（签字）：                      或授权代表（签字）：</w:t>
      </w:r>
    </w:p>
    <w:p w14:paraId="34B61C2D">
      <w:pPr>
        <w:widowControl/>
        <w:spacing w:line="560" w:lineRule="exact"/>
        <w:jc w:val="left"/>
        <w:outlineLvl w:val="9"/>
        <w:rPr>
          <w:rFonts w:ascii="宋体" w:hAnsi="宋体"/>
          <w:bCs/>
          <w:color w:val="auto"/>
          <w:sz w:val="24"/>
          <w:szCs w:val="24"/>
          <w:highlight w:val="none"/>
        </w:rPr>
      </w:pPr>
      <w:r>
        <w:rPr>
          <w:rFonts w:hint="eastAsia" w:ascii="宋体" w:hAnsi="宋体"/>
          <w:bCs/>
          <w:color w:val="auto"/>
          <w:sz w:val="24"/>
          <w:szCs w:val="24"/>
          <w:highlight w:val="none"/>
        </w:rPr>
        <w:t>时间：</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年</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月</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日               时间：</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年</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月</w:t>
      </w:r>
      <w:r>
        <w:rPr>
          <w:rFonts w:hint="eastAsia" w:ascii="宋体" w:hAnsi="宋体"/>
          <w:bCs/>
          <w:color w:val="auto"/>
          <w:sz w:val="24"/>
          <w:szCs w:val="24"/>
          <w:highlight w:val="none"/>
          <w:u w:val="single"/>
        </w:rPr>
        <w:t xml:space="preserve"> </w:t>
      </w:r>
      <w:r>
        <w:rPr>
          <w:rFonts w:ascii="宋体" w:hAnsi="宋体"/>
          <w:bCs/>
          <w:color w:val="auto"/>
          <w:sz w:val="24"/>
          <w:szCs w:val="24"/>
          <w:highlight w:val="none"/>
          <w:u w:val="single"/>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日</w:t>
      </w:r>
    </w:p>
    <w:p w14:paraId="68552DA9">
      <w:pPr>
        <w:widowControl/>
        <w:spacing w:line="560" w:lineRule="exact"/>
        <w:jc w:val="left"/>
        <w:outlineLvl w:val="9"/>
        <w:rPr>
          <w:rFonts w:ascii="宋体" w:hAnsi="宋体"/>
          <w:bCs/>
          <w:color w:val="auto"/>
          <w:sz w:val="24"/>
          <w:szCs w:val="24"/>
          <w:highlight w:val="none"/>
        </w:rPr>
      </w:pPr>
      <w:r>
        <w:rPr>
          <w:rFonts w:hint="eastAsia" w:ascii="宋体" w:hAnsi="宋体"/>
          <w:bCs/>
          <w:color w:val="auto"/>
          <w:sz w:val="24"/>
          <w:szCs w:val="24"/>
          <w:highlight w:val="none"/>
        </w:rPr>
        <w:t xml:space="preserve">                                        乙方账户信息</w:t>
      </w:r>
    </w:p>
    <w:p w14:paraId="46237D54">
      <w:pPr>
        <w:widowControl/>
        <w:spacing w:line="560" w:lineRule="exact"/>
        <w:jc w:val="left"/>
        <w:outlineLvl w:val="9"/>
        <w:rPr>
          <w:rFonts w:ascii="宋体" w:hAnsi="宋体"/>
          <w:bCs/>
          <w:color w:val="auto"/>
          <w:sz w:val="24"/>
          <w:szCs w:val="24"/>
          <w:highlight w:val="none"/>
          <w:u w:val="single"/>
        </w:rPr>
      </w:pPr>
      <w:r>
        <w:rPr>
          <w:rFonts w:hint="eastAsia" w:ascii="宋体" w:hAnsi="宋体"/>
          <w:bCs/>
          <w:color w:val="auto"/>
          <w:sz w:val="24"/>
          <w:szCs w:val="24"/>
          <w:highlight w:val="none"/>
        </w:rPr>
        <w:t xml:space="preserve">                                        户名：</w:t>
      </w:r>
      <w:r>
        <w:rPr>
          <w:rFonts w:hint="eastAsia" w:ascii="宋体" w:hAnsi="宋体"/>
          <w:bCs/>
          <w:color w:val="auto"/>
          <w:sz w:val="24"/>
          <w:szCs w:val="24"/>
          <w:highlight w:val="none"/>
          <w:u w:val="single"/>
        </w:rPr>
        <w:t xml:space="preserve">                    </w:t>
      </w:r>
    </w:p>
    <w:p w14:paraId="3DE9AEE3">
      <w:pPr>
        <w:widowControl/>
        <w:spacing w:line="560" w:lineRule="exact"/>
        <w:jc w:val="left"/>
        <w:outlineLvl w:val="9"/>
        <w:rPr>
          <w:rFonts w:ascii="宋体" w:hAnsi="宋体"/>
          <w:bCs/>
          <w:color w:val="auto"/>
          <w:sz w:val="24"/>
          <w:szCs w:val="24"/>
          <w:highlight w:val="none"/>
          <w:u w:val="single"/>
        </w:rPr>
      </w:pPr>
      <w:r>
        <w:rPr>
          <w:rFonts w:hint="eastAsia" w:ascii="宋体" w:hAnsi="宋体"/>
          <w:bCs/>
          <w:color w:val="auto"/>
          <w:sz w:val="24"/>
          <w:szCs w:val="24"/>
          <w:highlight w:val="none"/>
        </w:rPr>
        <w:t xml:space="preserve">                                        账号：</w:t>
      </w:r>
      <w:r>
        <w:rPr>
          <w:rFonts w:hint="eastAsia" w:ascii="宋体" w:hAnsi="宋体"/>
          <w:bCs/>
          <w:color w:val="auto"/>
          <w:sz w:val="24"/>
          <w:szCs w:val="24"/>
          <w:highlight w:val="none"/>
          <w:u w:val="single"/>
        </w:rPr>
        <w:t xml:space="preserve">                    </w:t>
      </w:r>
    </w:p>
    <w:p w14:paraId="63BA7DCE">
      <w:pPr>
        <w:widowControl/>
        <w:spacing w:line="560" w:lineRule="exact"/>
        <w:jc w:val="left"/>
        <w:outlineLvl w:val="9"/>
        <w:rPr>
          <w:rFonts w:ascii="宋体" w:hAnsi="宋体"/>
          <w:bCs/>
          <w:color w:val="auto"/>
          <w:sz w:val="24"/>
          <w:szCs w:val="24"/>
          <w:highlight w:val="none"/>
          <w:u w:val="single"/>
        </w:rPr>
      </w:pPr>
      <w:r>
        <w:rPr>
          <w:rFonts w:hint="eastAsia" w:ascii="宋体" w:hAnsi="宋体"/>
          <w:bCs/>
          <w:color w:val="auto"/>
          <w:sz w:val="24"/>
          <w:szCs w:val="24"/>
          <w:highlight w:val="none"/>
        </w:rPr>
        <w:t xml:space="preserve">                                        开户银行：</w:t>
      </w:r>
      <w:r>
        <w:rPr>
          <w:rFonts w:hint="eastAsia" w:ascii="宋体" w:hAnsi="宋体"/>
          <w:bCs/>
          <w:color w:val="auto"/>
          <w:sz w:val="24"/>
          <w:szCs w:val="24"/>
          <w:highlight w:val="none"/>
          <w:u w:val="single"/>
        </w:rPr>
        <w:t xml:space="preserve">                </w:t>
      </w:r>
    </w:p>
    <w:p w14:paraId="563B6D3D">
      <w:pPr>
        <w:widowControl/>
        <w:jc w:val="center"/>
        <w:outlineLvl w:val="9"/>
        <w:rPr>
          <w:rFonts w:ascii="宋体" w:hAnsi="宋体" w:cs="@仿宋_GB2312"/>
          <w:b/>
          <w:color w:val="auto"/>
          <w:sz w:val="24"/>
          <w:szCs w:val="20"/>
          <w:highlight w:val="none"/>
        </w:rPr>
      </w:pPr>
      <w:r>
        <w:rPr>
          <w:rFonts w:ascii="宋体" w:hAnsi="宋体" w:cs="@仿宋_GB2312"/>
          <w:b/>
          <w:color w:val="auto"/>
          <w:sz w:val="24"/>
          <w:szCs w:val="20"/>
          <w:highlight w:val="none"/>
        </w:rPr>
        <w:br w:type="page"/>
      </w:r>
      <w:r>
        <w:rPr>
          <w:rFonts w:hint="eastAsia" w:ascii="宋体" w:hAnsi="宋体" w:cs="@仿宋_GB2312"/>
          <w:b/>
          <w:color w:val="auto"/>
          <w:sz w:val="24"/>
          <w:szCs w:val="20"/>
          <w:highlight w:val="none"/>
        </w:rPr>
        <w:t>第二部分</w:t>
      </w:r>
      <w:r>
        <w:rPr>
          <w:rFonts w:ascii="宋体" w:hAnsi="宋体" w:cs="@仿宋_GB2312"/>
          <w:b/>
          <w:color w:val="auto"/>
          <w:sz w:val="24"/>
          <w:szCs w:val="20"/>
          <w:highlight w:val="none"/>
        </w:rPr>
        <w:t xml:space="preserve"> </w:t>
      </w:r>
      <w:r>
        <w:rPr>
          <w:rFonts w:hint="eastAsia" w:ascii="宋体" w:hAnsi="宋体" w:cs="@仿宋_GB2312"/>
          <w:b/>
          <w:color w:val="auto"/>
          <w:sz w:val="24"/>
          <w:szCs w:val="20"/>
          <w:highlight w:val="none"/>
        </w:rPr>
        <w:t>合同一般条款</w:t>
      </w:r>
    </w:p>
    <w:p w14:paraId="5FF50203">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2.1</w:t>
      </w:r>
      <w:r>
        <w:rPr>
          <w:rFonts w:ascii="宋体" w:hAnsi="宋体" w:cs="@仿宋_GB2312"/>
          <w:b/>
          <w:bCs/>
          <w:color w:val="auto"/>
          <w:sz w:val="24"/>
          <w:szCs w:val="20"/>
          <w:highlight w:val="none"/>
          <w:lang w:val="zh-CN"/>
        </w:rPr>
        <w:t xml:space="preserve"> 定义</w:t>
      </w:r>
    </w:p>
    <w:p w14:paraId="55E27792">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本合同中的下列</w:t>
      </w:r>
      <w:r>
        <w:rPr>
          <w:rFonts w:hint="eastAsia" w:ascii="宋体" w:hAnsi="宋体" w:cs="@仿宋_GB2312"/>
          <w:color w:val="auto"/>
          <w:sz w:val="24"/>
          <w:szCs w:val="20"/>
          <w:highlight w:val="none"/>
        </w:rPr>
        <w:t>词</w:t>
      </w:r>
      <w:r>
        <w:rPr>
          <w:rFonts w:ascii="宋体" w:hAnsi="宋体" w:cs="@仿宋_GB2312"/>
          <w:color w:val="auto"/>
          <w:sz w:val="24"/>
          <w:szCs w:val="20"/>
          <w:highlight w:val="none"/>
        </w:rPr>
        <w:t>语应</w:t>
      </w:r>
      <w:r>
        <w:rPr>
          <w:rFonts w:hint="eastAsia" w:ascii="宋体" w:hAnsi="宋体" w:cs="@仿宋_GB2312"/>
          <w:color w:val="auto"/>
          <w:sz w:val="24"/>
          <w:szCs w:val="20"/>
          <w:highlight w:val="none"/>
        </w:rPr>
        <w:t>按以下内容进行</w:t>
      </w:r>
      <w:r>
        <w:rPr>
          <w:rFonts w:ascii="宋体" w:hAnsi="宋体" w:cs="@仿宋_GB2312"/>
          <w:color w:val="auto"/>
          <w:sz w:val="24"/>
          <w:szCs w:val="20"/>
          <w:highlight w:val="none"/>
        </w:rPr>
        <w:t>解释：</w:t>
      </w:r>
    </w:p>
    <w:p w14:paraId="6ED0F113">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w:t>
      </w:r>
      <w:r>
        <w:rPr>
          <w:rFonts w:hint="eastAsia" w:ascii="宋体" w:hAnsi="宋体" w:cs="@仿宋_GB2312"/>
          <w:color w:val="auto"/>
          <w:sz w:val="24"/>
          <w:szCs w:val="20"/>
          <w:highlight w:val="none"/>
        </w:rPr>
        <w:t>.1</w:t>
      </w:r>
      <w:r>
        <w:rPr>
          <w:rFonts w:ascii="宋体" w:hAnsi="宋体" w:cs="@仿宋_GB2312"/>
          <w:color w:val="auto"/>
          <w:sz w:val="24"/>
          <w:szCs w:val="20"/>
          <w:highlight w:val="none"/>
        </w:rPr>
        <w:t>“合同”系指采购人和成交供应商签订的载明双方当事人所达成的协议，并包括所有的附件、附录和构成合同的其他文件。</w:t>
      </w:r>
    </w:p>
    <w:p w14:paraId="23D34F3C">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1.2“合同价”系指根据合同约定，成交供应商在完全履行合同义务后</w:t>
      </w:r>
      <w:r>
        <w:rPr>
          <w:rFonts w:hint="eastAsia" w:ascii="宋体" w:hAnsi="宋体" w:cs="@仿宋_GB2312"/>
          <w:color w:val="auto"/>
          <w:sz w:val="24"/>
          <w:szCs w:val="20"/>
          <w:highlight w:val="none"/>
        </w:rPr>
        <w:t>，</w:t>
      </w:r>
      <w:r>
        <w:rPr>
          <w:rFonts w:ascii="宋体" w:hAnsi="宋体" w:cs="@仿宋_GB2312"/>
          <w:color w:val="auto"/>
          <w:sz w:val="24"/>
          <w:szCs w:val="20"/>
          <w:highlight w:val="none"/>
        </w:rPr>
        <w:t>采购人应支付给成交供应商的价格。</w:t>
      </w:r>
    </w:p>
    <w:p w14:paraId="67909902">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1.3“</w:t>
      </w:r>
      <w:r>
        <w:rPr>
          <w:rFonts w:hint="eastAsia" w:ascii="宋体" w:hAnsi="宋体" w:cs="@仿宋_GB2312"/>
          <w:color w:val="auto"/>
          <w:sz w:val="24"/>
          <w:szCs w:val="20"/>
          <w:highlight w:val="none"/>
        </w:rPr>
        <w:t>服务</w:t>
      </w:r>
      <w:r>
        <w:rPr>
          <w:rFonts w:ascii="宋体" w:hAnsi="宋体" w:cs="@仿宋_GB2312"/>
          <w:color w:val="auto"/>
          <w:sz w:val="24"/>
          <w:szCs w:val="20"/>
          <w:highlight w:val="none"/>
        </w:rPr>
        <w:t>”系指</w:t>
      </w:r>
      <w:r>
        <w:rPr>
          <w:rFonts w:hint="eastAsia" w:ascii="宋体" w:hAnsi="宋体" w:cs="@仿宋_GB2312"/>
          <w:color w:val="auto"/>
          <w:sz w:val="24"/>
          <w:szCs w:val="20"/>
          <w:highlight w:val="none"/>
        </w:rPr>
        <w:t>成交供应商</w:t>
      </w:r>
      <w:r>
        <w:rPr>
          <w:rFonts w:ascii="宋体" w:hAnsi="宋体" w:cs="@仿宋_GB2312"/>
          <w:color w:val="auto"/>
          <w:sz w:val="24"/>
          <w:szCs w:val="20"/>
          <w:highlight w:val="none"/>
        </w:rPr>
        <w:t>根据合同约定应向采购人</w:t>
      </w:r>
      <w:r>
        <w:rPr>
          <w:rFonts w:hint="eastAsia" w:ascii="宋体" w:hAnsi="宋体" w:cs="@仿宋_GB2312"/>
          <w:color w:val="auto"/>
          <w:sz w:val="24"/>
          <w:szCs w:val="20"/>
          <w:highlight w:val="none"/>
        </w:rPr>
        <w:t>履行</w:t>
      </w:r>
      <w:r>
        <w:rPr>
          <w:rFonts w:ascii="宋体" w:hAnsi="宋体" w:cs="@仿宋_GB2312"/>
          <w:color w:val="auto"/>
          <w:sz w:val="24"/>
          <w:szCs w:val="20"/>
          <w:highlight w:val="none"/>
        </w:rPr>
        <w:t>的</w:t>
      </w:r>
      <w:r>
        <w:rPr>
          <w:rFonts w:hint="eastAsia" w:ascii="宋体" w:hAnsi="宋体" w:cs="@仿宋_GB2312"/>
          <w:color w:val="auto"/>
          <w:sz w:val="24"/>
          <w:szCs w:val="20"/>
          <w:highlight w:val="none"/>
        </w:rPr>
        <w:t>除货物和工程以外的其他政府采购对象，包括采购人自身需要的服务和向社会公众提供的公共服务。</w:t>
      </w:r>
    </w:p>
    <w:p w14:paraId="461FD944">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w:t>
      </w:r>
      <w:r>
        <w:rPr>
          <w:rFonts w:hint="eastAsia" w:ascii="宋体" w:hAnsi="宋体" w:cs="@仿宋_GB2312"/>
          <w:color w:val="auto"/>
          <w:sz w:val="24"/>
          <w:szCs w:val="20"/>
          <w:highlight w:val="none"/>
        </w:rPr>
        <w:t>4</w:t>
      </w:r>
      <w:r>
        <w:rPr>
          <w:rFonts w:ascii="宋体" w:hAnsi="宋体" w:cs="@仿宋_GB2312"/>
          <w:color w:val="auto"/>
          <w:sz w:val="24"/>
          <w:szCs w:val="20"/>
          <w:highlight w:val="none"/>
        </w:rPr>
        <w:t>“</w:t>
      </w:r>
      <w:r>
        <w:rPr>
          <w:rFonts w:hint="eastAsia" w:ascii="宋体" w:hAnsi="宋体" w:cs="@仿宋_GB2312"/>
          <w:color w:val="auto"/>
          <w:sz w:val="24"/>
          <w:szCs w:val="20"/>
          <w:highlight w:val="none"/>
        </w:rPr>
        <w:t>甲方</w:t>
      </w:r>
      <w:r>
        <w:rPr>
          <w:rFonts w:ascii="宋体" w:hAnsi="宋体" w:cs="@仿宋_GB2312"/>
          <w:color w:val="auto"/>
          <w:sz w:val="24"/>
          <w:szCs w:val="20"/>
          <w:highlight w:val="none"/>
        </w:rPr>
        <w:t>”系指与</w:t>
      </w:r>
      <w:r>
        <w:rPr>
          <w:rFonts w:hint="eastAsia" w:ascii="宋体" w:hAnsi="宋体" w:cs="@仿宋_GB2312"/>
          <w:color w:val="auto"/>
          <w:sz w:val="24"/>
          <w:szCs w:val="20"/>
          <w:highlight w:val="none"/>
        </w:rPr>
        <w:t>成交供应商</w:t>
      </w:r>
      <w:r>
        <w:rPr>
          <w:rFonts w:ascii="宋体" w:hAnsi="宋体" w:cs="@仿宋_GB2312"/>
          <w:color w:val="auto"/>
          <w:sz w:val="24"/>
          <w:szCs w:val="20"/>
          <w:highlight w:val="none"/>
        </w:rPr>
        <w:t>签署合同的采购人</w:t>
      </w:r>
      <w:r>
        <w:rPr>
          <w:rFonts w:hint="eastAsia" w:ascii="宋体" w:hAnsi="宋体" w:cs="@仿宋_GB2312"/>
          <w:color w:val="auto"/>
          <w:sz w:val="24"/>
          <w:szCs w:val="20"/>
          <w:highlight w:val="none"/>
        </w:rPr>
        <w:t>；采购人委托采购代理机构代表其与乙方签订合同的，采购人的授权委托书作为合同附件。</w:t>
      </w:r>
    </w:p>
    <w:p w14:paraId="2A3704AF">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w:t>
      </w:r>
      <w:r>
        <w:rPr>
          <w:rFonts w:hint="eastAsia" w:ascii="宋体" w:hAnsi="宋体" w:cs="@仿宋_GB2312"/>
          <w:color w:val="auto"/>
          <w:sz w:val="24"/>
          <w:szCs w:val="20"/>
          <w:highlight w:val="none"/>
        </w:rPr>
        <w:t>5</w:t>
      </w:r>
      <w:r>
        <w:rPr>
          <w:rFonts w:ascii="宋体" w:hAnsi="宋体" w:cs="@仿宋_GB2312"/>
          <w:color w:val="auto"/>
          <w:sz w:val="24"/>
          <w:szCs w:val="20"/>
          <w:highlight w:val="none"/>
        </w:rPr>
        <w:t>“乙方”系指根据合同约定</w:t>
      </w:r>
      <w:r>
        <w:rPr>
          <w:rFonts w:hint="eastAsia" w:ascii="宋体" w:hAnsi="宋体" w:cs="@仿宋_GB2312"/>
          <w:color w:val="auto"/>
          <w:sz w:val="24"/>
          <w:szCs w:val="20"/>
          <w:highlight w:val="none"/>
        </w:rPr>
        <w:t>提供服务</w:t>
      </w:r>
      <w:r>
        <w:rPr>
          <w:rFonts w:ascii="宋体" w:hAnsi="宋体" w:cs="@仿宋_GB2312"/>
          <w:color w:val="auto"/>
          <w:sz w:val="24"/>
          <w:szCs w:val="20"/>
          <w:highlight w:val="none"/>
        </w:rPr>
        <w:t>的成交供应商</w:t>
      </w:r>
      <w:r>
        <w:rPr>
          <w:rFonts w:hint="eastAsia" w:ascii="宋体" w:hAnsi="宋体" w:cs="@仿宋_GB2312"/>
          <w:color w:val="auto"/>
          <w:sz w:val="24"/>
          <w:szCs w:val="20"/>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303EFE7">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w:t>
      </w:r>
      <w:r>
        <w:rPr>
          <w:rFonts w:hint="eastAsia" w:ascii="宋体" w:hAnsi="宋体" w:cs="@仿宋_GB2312"/>
          <w:color w:val="auto"/>
          <w:sz w:val="24"/>
          <w:szCs w:val="20"/>
          <w:highlight w:val="none"/>
        </w:rPr>
        <w:t>6</w:t>
      </w:r>
      <w:r>
        <w:rPr>
          <w:rFonts w:ascii="宋体" w:hAnsi="宋体" w:cs="@仿宋_GB2312"/>
          <w:color w:val="auto"/>
          <w:sz w:val="24"/>
          <w:szCs w:val="20"/>
          <w:highlight w:val="none"/>
        </w:rPr>
        <w:t>“现场”系指合同约定</w:t>
      </w:r>
      <w:r>
        <w:rPr>
          <w:rFonts w:hint="eastAsia" w:ascii="宋体" w:hAnsi="宋体" w:cs="@仿宋_GB2312"/>
          <w:color w:val="auto"/>
          <w:sz w:val="24"/>
          <w:szCs w:val="20"/>
          <w:highlight w:val="none"/>
        </w:rPr>
        <w:t>提供服务</w:t>
      </w:r>
      <w:r>
        <w:rPr>
          <w:rFonts w:ascii="宋体" w:hAnsi="宋体" w:cs="@仿宋_GB2312"/>
          <w:color w:val="auto"/>
          <w:sz w:val="24"/>
          <w:szCs w:val="20"/>
          <w:highlight w:val="none"/>
        </w:rPr>
        <w:t>的地点。</w:t>
      </w:r>
    </w:p>
    <w:p w14:paraId="1892E279">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2 技术规范</w:t>
      </w:r>
    </w:p>
    <w:p w14:paraId="063CCDE8">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货物</w:t>
      </w:r>
      <w:r>
        <w:rPr>
          <w:rFonts w:hint="eastAsia" w:ascii="宋体" w:hAnsi="宋体" w:cs="@仿宋_GB2312"/>
          <w:color w:val="auto"/>
          <w:sz w:val="24"/>
          <w:szCs w:val="20"/>
          <w:highlight w:val="none"/>
        </w:rPr>
        <w:t>或服务</w:t>
      </w:r>
      <w:r>
        <w:rPr>
          <w:rFonts w:ascii="宋体" w:hAnsi="宋体" w:cs="@仿宋_GB2312"/>
          <w:color w:val="auto"/>
          <w:sz w:val="24"/>
          <w:szCs w:val="20"/>
          <w:highlight w:val="none"/>
        </w:rPr>
        <w:t>所应遵守的技术规范应与采购文件规定的技术规范和技术规范附件</w:t>
      </w:r>
      <w:r>
        <w:rPr>
          <w:rFonts w:hint="eastAsia" w:ascii="宋体" w:hAnsi="宋体" w:cs="@仿宋_GB2312"/>
          <w:color w:val="auto"/>
          <w:sz w:val="24"/>
          <w:szCs w:val="20"/>
          <w:highlight w:val="none"/>
        </w:rPr>
        <w:t>（</w:t>
      </w:r>
      <w:r>
        <w:rPr>
          <w:rFonts w:ascii="宋体" w:hAnsi="宋体" w:cs="@仿宋_GB2312"/>
          <w:color w:val="auto"/>
          <w:sz w:val="24"/>
          <w:szCs w:val="20"/>
          <w:highlight w:val="none"/>
        </w:rPr>
        <w:t>如果有的话</w:t>
      </w:r>
      <w:r>
        <w:rPr>
          <w:rFonts w:hint="eastAsia" w:ascii="宋体" w:hAnsi="宋体" w:cs="@仿宋_GB2312"/>
          <w:color w:val="auto"/>
          <w:sz w:val="24"/>
          <w:szCs w:val="20"/>
          <w:highlight w:val="none"/>
        </w:rPr>
        <w:t>）</w:t>
      </w:r>
      <w:r>
        <w:rPr>
          <w:rFonts w:ascii="宋体" w:hAnsi="宋体" w:cs="@仿宋_GB2312"/>
          <w:color w:val="auto"/>
          <w:sz w:val="24"/>
          <w:szCs w:val="20"/>
          <w:highlight w:val="none"/>
        </w:rPr>
        <w:t>及其技术规范偏差表</w:t>
      </w:r>
      <w:r>
        <w:rPr>
          <w:rFonts w:hint="eastAsia" w:ascii="宋体" w:hAnsi="宋体" w:cs="@仿宋_GB2312"/>
          <w:color w:val="auto"/>
          <w:sz w:val="24"/>
          <w:szCs w:val="20"/>
          <w:highlight w:val="none"/>
        </w:rPr>
        <w:t>（</w:t>
      </w:r>
      <w:r>
        <w:rPr>
          <w:rFonts w:ascii="宋体" w:hAnsi="宋体" w:cs="@仿宋_GB2312"/>
          <w:color w:val="auto"/>
          <w:sz w:val="24"/>
          <w:szCs w:val="20"/>
          <w:highlight w:val="none"/>
        </w:rPr>
        <w:t>如果被甲方接受的话</w:t>
      </w:r>
      <w:r>
        <w:rPr>
          <w:rFonts w:hint="eastAsia" w:ascii="宋体" w:hAnsi="宋体" w:cs="@仿宋_GB2312"/>
          <w:color w:val="auto"/>
          <w:sz w:val="24"/>
          <w:szCs w:val="20"/>
          <w:highlight w:val="none"/>
        </w:rPr>
        <w:t>）</w:t>
      </w:r>
      <w:r>
        <w:rPr>
          <w:rFonts w:ascii="宋体" w:hAnsi="宋体" w:cs="@仿宋_GB2312"/>
          <w:color w:val="auto"/>
          <w:sz w:val="24"/>
          <w:szCs w:val="20"/>
          <w:highlight w:val="none"/>
        </w:rPr>
        <w:t>相一致</w:t>
      </w:r>
      <w:r>
        <w:rPr>
          <w:rFonts w:hint="eastAsia" w:ascii="宋体" w:hAnsi="宋体" w:cs="@仿宋_GB2312"/>
          <w:color w:val="auto"/>
          <w:sz w:val="24"/>
          <w:szCs w:val="20"/>
          <w:highlight w:val="none"/>
        </w:rPr>
        <w:t>；</w:t>
      </w:r>
      <w:r>
        <w:rPr>
          <w:rFonts w:ascii="宋体" w:hAnsi="宋体" w:cs="@仿宋_GB2312"/>
          <w:color w:val="auto"/>
          <w:sz w:val="24"/>
          <w:szCs w:val="20"/>
          <w:highlight w:val="none"/>
        </w:rPr>
        <w:t>如果采购文件中没有技术规范的相应说明，那么应以国家有关部门最新颁布的相应标准</w:t>
      </w:r>
      <w:r>
        <w:rPr>
          <w:rFonts w:hint="eastAsia" w:ascii="宋体" w:hAnsi="宋体" w:cs="@仿宋_GB2312"/>
          <w:color w:val="auto"/>
          <w:sz w:val="24"/>
          <w:szCs w:val="20"/>
          <w:highlight w:val="none"/>
        </w:rPr>
        <w:t>和</w:t>
      </w:r>
      <w:r>
        <w:rPr>
          <w:rFonts w:ascii="宋体" w:hAnsi="宋体" w:cs="@仿宋_GB2312"/>
          <w:color w:val="auto"/>
          <w:sz w:val="24"/>
          <w:szCs w:val="20"/>
          <w:highlight w:val="none"/>
        </w:rPr>
        <w:t>规范为准。</w:t>
      </w:r>
    </w:p>
    <w:p w14:paraId="2757FE3E">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3 知识产权</w:t>
      </w:r>
    </w:p>
    <w:p w14:paraId="2B240804">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2.3.1乙</w:t>
      </w:r>
      <w:r>
        <w:rPr>
          <w:rFonts w:ascii="宋体" w:hAnsi="宋体" w:cs="@仿宋_GB2312"/>
          <w:color w:val="auto"/>
          <w:sz w:val="24"/>
          <w:szCs w:val="20"/>
          <w:highlight w:val="none"/>
        </w:rPr>
        <w:t>方应保证</w:t>
      </w:r>
      <w:r>
        <w:rPr>
          <w:rFonts w:hint="eastAsia" w:ascii="宋体" w:hAnsi="宋体" w:cs="@仿宋_GB2312"/>
          <w:color w:val="auto"/>
          <w:sz w:val="24"/>
          <w:szCs w:val="20"/>
          <w:highlight w:val="none"/>
        </w:rPr>
        <w:t>其提供的服务</w:t>
      </w:r>
      <w:r>
        <w:rPr>
          <w:rFonts w:ascii="宋体" w:hAnsi="宋体" w:cs="@仿宋_GB2312"/>
          <w:color w:val="auto"/>
          <w:sz w:val="24"/>
          <w:szCs w:val="20"/>
          <w:highlight w:val="none"/>
        </w:rPr>
        <w:t>不受任何第三方提出的侵犯其著作权、商标权、专利权等知识产权方面的起诉</w:t>
      </w:r>
      <w:r>
        <w:rPr>
          <w:rFonts w:hint="eastAsia" w:ascii="宋体" w:hAnsi="宋体" w:cs="@仿宋_GB2312"/>
          <w:color w:val="auto"/>
          <w:sz w:val="24"/>
          <w:szCs w:val="20"/>
          <w:highlight w:val="none"/>
        </w:rPr>
        <w:t>；</w:t>
      </w:r>
      <w:r>
        <w:rPr>
          <w:rFonts w:ascii="宋体" w:hAnsi="宋体" w:cs="@仿宋_GB2312"/>
          <w:color w:val="auto"/>
          <w:sz w:val="24"/>
          <w:szCs w:val="20"/>
          <w:highlight w:val="none"/>
        </w:rPr>
        <w:t>如果任何第三方提出侵权</w:t>
      </w:r>
      <w:r>
        <w:rPr>
          <w:rFonts w:hint="eastAsia" w:ascii="宋体" w:hAnsi="宋体" w:cs="@仿宋_GB2312"/>
          <w:color w:val="auto"/>
          <w:sz w:val="24"/>
          <w:szCs w:val="20"/>
          <w:highlight w:val="none"/>
        </w:rPr>
        <w:t>指控</w:t>
      </w:r>
      <w:r>
        <w:rPr>
          <w:rFonts w:ascii="宋体" w:hAnsi="宋体" w:cs="@仿宋_GB2312"/>
          <w:color w:val="auto"/>
          <w:sz w:val="24"/>
          <w:szCs w:val="20"/>
          <w:highlight w:val="none"/>
        </w:rPr>
        <w:t>，那么乙方须与该第三方交涉并承担由此发生的一切责任、费用和赔偿</w:t>
      </w:r>
      <w:r>
        <w:rPr>
          <w:rFonts w:hint="eastAsia" w:ascii="宋体" w:hAnsi="宋体" w:cs="@仿宋_GB2312"/>
          <w:color w:val="auto"/>
          <w:sz w:val="24"/>
          <w:szCs w:val="20"/>
          <w:highlight w:val="none"/>
        </w:rPr>
        <w:t>；</w:t>
      </w:r>
    </w:p>
    <w:p w14:paraId="71430D22">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2.3.2具有知识产权的计算机软件等货物或服务的知识产权归属，</w:t>
      </w:r>
      <w:r>
        <w:rPr>
          <w:rFonts w:ascii="宋体" w:hAnsi="宋体" w:cs="@仿宋_GB2312"/>
          <w:color w:val="auto"/>
          <w:sz w:val="24"/>
          <w:szCs w:val="20"/>
          <w:highlight w:val="none"/>
        </w:rPr>
        <w:t>详见</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w:t>
      </w:r>
    </w:p>
    <w:p w14:paraId="1B526E10">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 xml:space="preserve">4 </w:t>
      </w:r>
      <w:r>
        <w:rPr>
          <w:rFonts w:hint="eastAsia" w:ascii="宋体" w:hAnsi="宋体" w:cs="@仿宋_GB2312"/>
          <w:b/>
          <w:bCs/>
          <w:color w:val="auto"/>
          <w:sz w:val="24"/>
          <w:szCs w:val="20"/>
          <w:highlight w:val="none"/>
          <w:lang w:val="zh-CN"/>
        </w:rPr>
        <w:t>履约检查和问题反馈</w:t>
      </w:r>
    </w:p>
    <w:p w14:paraId="1D36AC54">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2.4</w:t>
      </w:r>
      <w:r>
        <w:rPr>
          <w:rFonts w:ascii="宋体" w:hAnsi="宋体" w:cs="@仿宋_GB2312"/>
          <w:color w:val="auto"/>
          <w:sz w:val="24"/>
          <w:szCs w:val="20"/>
          <w:highlight w:val="none"/>
        </w:rPr>
        <w:t>.1甲方</w:t>
      </w:r>
      <w:r>
        <w:rPr>
          <w:rFonts w:hint="eastAsia" w:ascii="宋体" w:hAnsi="宋体" w:cs="@仿宋_GB2312"/>
          <w:color w:val="auto"/>
          <w:sz w:val="24"/>
          <w:szCs w:val="20"/>
          <w:highlight w:val="none"/>
        </w:rPr>
        <w:t>有权</w:t>
      </w:r>
      <w:r>
        <w:rPr>
          <w:rFonts w:ascii="宋体" w:hAnsi="宋体" w:cs="@仿宋_GB2312"/>
          <w:color w:val="auto"/>
          <w:sz w:val="24"/>
          <w:szCs w:val="20"/>
          <w:highlight w:val="none"/>
        </w:rPr>
        <w:t>在其认为必要时</w:t>
      </w:r>
      <w:r>
        <w:rPr>
          <w:rFonts w:hint="eastAsia" w:ascii="宋体" w:hAnsi="宋体" w:cs="@仿宋_GB2312"/>
          <w:color w:val="auto"/>
          <w:sz w:val="24"/>
          <w:szCs w:val="20"/>
          <w:highlight w:val="none"/>
        </w:rPr>
        <w:t>，对乙方是否能够按照合同约定提供服务进行履约检查，以确保乙方所提供的服务能够依约满足甲方项目需求，但不得因履约检查妨碍乙方的正常工作，乙方应予积极配合；</w:t>
      </w:r>
    </w:p>
    <w:p w14:paraId="79CCB21A">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4</w:t>
      </w:r>
      <w:r>
        <w:rPr>
          <w:rFonts w:hint="eastAsia" w:ascii="宋体" w:hAnsi="宋体" w:cs="@仿宋_GB2312"/>
          <w:color w:val="auto"/>
          <w:sz w:val="24"/>
          <w:szCs w:val="20"/>
          <w:highlight w:val="none"/>
        </w:rPr>
        <w:t>.2合同履行期间，甲方有权将履行过程中出现的问题反馈给乙方，双方当事人应以书面形式约定需要完善和改进的内容。</w:t>
      </w:r>
    </w:p>
    <w:p w14:paraId="7D71663F">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5</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结算方式和付款条件</w:t>
      </w:r>
    </w:p>
    <w:p w14:paraId="73B72E66">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详见</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w:t>
      </w:r>
    </w:p>
    <w:p w14:paraId="5C9EEBAC">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6</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技术资料和保密义务</w:t>
      </w:r>
    </w:p>
    <w:p w14:paraId="6B78B949">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6.1</w:t>
      </w:r>
      <w:r>
        <w:rPr>
          <w:rFonts w:hint="eastAsia" w:ascii="宋体" w:hAnsi="宋体" w:cs="@仿宋_GB2312"/>
          <w:color w:val="auto"/>
          <w:sz w:val="24"/>
          <w:szCs w:val="20"/>
          <w:highlight w:val="none"/>
        </w:rPr>
        <w:t>乙方有权依据合同约定和项目需要，向甲方了解有关情况，调阅有关资料等，甲方应予积极配合；</w:t>
      </w:r>
    </w:p>
    <w:p w14:paraId="1EA319FE">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6</w:t>
      </w:r>
      <w:r>
        <w:rPr>
          <w:rFonts w:hint="eastAsia" w:ascii="宋体" w:hAnsi="宋体" w:cs="@仿宋_GB2312"/>
          <w:color w:val="auto"/>
          <w:sz w:val="24"/>
          <w:szCs w:val="20"/>
          <w:highlight w:val="none"/>
        </w:rPr>
        <w:t>.2乙方有义务妥善保管和保护由甲方提供的前款信息和资料等；</w:t>
      </w:r>
    </w:p>
    <w:p w14:paraId="24E613A6">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6.</w:t>
      </w:r>
      <w:r>
        <w:rPr>
          <w:rFonts w:hint="eastAsia" w:ascii="宋体" w:hAnsi="宋体" w:cs="@仿宋_GB2312"/>
          <w:color w:val="auto"/>
          <w:sz w:val="24"/>
          <w:szCs w:val="20"/>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s="@仿宋_GB2312"/>
          <w:color w:val="auto"/>
          <w:sz w:val="24"/>
          <w:szCs w:val="20"/>
          <w:highlight w:val="none"/>
        </w:rPr>
        <w:t>技术情报</w:t>
      </w:r>
      <w:r>
        <w:rPr>
          <w:rFonts w:hint="eastAsia" w:ascii="宋体" w:hAnsi="宋体" w:cs="@仿宋_GB2312"/>
          <w:color w:val="auto"/>
          <w:sz w:val="24"/>
          <w:szCs w:val="20"/>
          <w:highlight w:val="none"/>
        </w:rPr>
        <w:t>、</w:t>
      </w:r>
      <w:r>
        <w:rPr>
          <w:rFonts w:ascii="宋体" w:hAnsi="宋体" w:cs="@仿宋_GB2312"/>
          <w:color w:val="auto"/>
          <w:sz w:val="24"/>
          <w:szCs w:val="20"/>
          <w:highlight w:val="none"/>
        </w:rPr>
        <w:t>技术资料</w:t>
      </w:r>
      <w:r>
        <w:rPr>
          <w:rFonts w:hint="eastAsia" w:ascii="宋体" w:hAnsi="宋体" w:cs="@仿宋_GB2312"/>
          <w:color w:val="auto"/>
          <w:sz w:val="24"/>
          <w:szCs w:val="20"/>
          <w:highlight w:val="none"/>
        </w:rPr>
        <w:t>、商业秘密和商业信息等，并采取一切合理和必要措施和方式防止任何第三方接触到对方当事人的上述保密信息和资料。</w:t>
      </w:r>
    </w:p>
    <w:p w14:paraId="4A4EA8AD">
      <w:pPr>
        <w:spacing w:line="360" w:lineRule="auto"/>
        <w:ind w:firstLine="437"/>
        <w:outlineLvl w:val="9"/>
        <w:rPr>
          <w:rFonts w:ascii="宋体" w:hAnsi="宋体" w:cs="@仿宋_GB2312"/>
          <w:b/>
          <w:bCs/>
          <w:color w:val="auto"/>
          <w:sz w:val="24"/>
          <w:szCs w:val="20"/>
          <w:highlight w:val="none"/>
          <w:lang w:val="zh-CN"/>
        </w:rPr>
      </w:pPr>
      <w:r>
        <w:rPr>
          <w:rFonts w:ascii="宋体" w:hAnsi="宋体" w:cs="@仿宋_GB2312"/>
          <w:b/>
          <w:bCs/>
          <w:color w:val="auto"/>
          <w:sz w:val="24"/>
          <w:szCs w:val="20"/>
          <w:highlight w:val="none"/>
          <w:lang w:val="zh-CN"/>
        </w:rPr>
        <w:t>2.7 质量保证</w:t>
      </w:r>
    </w:p>
    <w:p w14:paraId="37DB0376">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7</w:t>
      </w:r>
      <w:r>
        <w:rPr>
          <w:rFonts w:hint="eastAsia" w:ascii="宋体" w:hAnsi="宋体" w:cs="@仿宋_GB2312"/>
          <w:color w:val="auto"/>
          <w:sz w:val="24"/>
          <w:szCs w:val="20"/>
          <w:highlight w:val="none"/>
        </w:rPr>
        <w:t>.1乙方应建立和完善履行合同的内部质量保证体系，并提供相关内部规章制度给甲方，以便甲方进行监督检查；</w:t>
      </w:r>
    </w:p>
    <w:p w14:paraId="62B3F49F">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7</w:t>
      </w:r>
      <w:r>
        <w:rPr>
          <w:rFonts w:hint="eastAsia" w:ascii="宋体" w:hAnsi="宋体" w:cs="@仿宋_GB2312"/>
          <w:color w:val="auto"/>
          <w:sz w:val="24"/>
          <w:szCs w:val="20"/>
          <w:highlight w:val="none"/>
        </w:rPr>
        <w:t>.2乙方应保证履行合同的人员数量和素质、软件和硬件设备的配置、场地、环境和设施等满足全面履行合同的要求，并应接受甲方的监督检查。</w:t>
      </w:r>
    </w:p>
    <w:p w14:paraId="42F637B5">
      <w:pPr>
        <w:spacing w:line="360" w:lineRule="auto"/>
        <w:ind w:firstLine="437"/>
        <w:outlineLvl w:val="9"/>
        <w:rPr>
          <w:rFonts w:ascii="宋体" w:hAnsi="宋体" w:cs="@仿宋_GB2312"/>
          <w:b/>
          <w:color w:val="auto"/>
          <w:sz w:val="24"/>
          <w:szCs w:val="20"/>
          <w:highlight w:val="none"/>
        </w:rPr>
      </w:pPr>
      <w:bookmarkStart w:id="44" w:name="_Toc22267"/>
      <w:r>
        <w:rPr>
          <w:rFonts w:hint="eastAsia" w:ascii="宋体" w:hAnsi="宋体" w:cs="@仿宋_GB2312"/>
          <w:b/>
          <w:color w:val="auto"/>
          <w:sz w:val="24"/>
          <w:szCs w:val="20"/>
          <w:highlight w:val="none"/>
        </w:rPr>
        <w:t>2.8 延迟履行</w:t>
      </w:r>
      <w:bookmarkEnd w:id="44"/>
    </w:p>
    <w:p w14:paraId="365998FD">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在合同履行过程中，如果乙方遇到不能按时</w:t>
      </w:r>
      <w:r>
        <w:rPr>
          <w:rFonts w:hint="eastAsia" w:ascii="宋体" w:hAnsi="宋体" w:cs="@仿宋_GB2312"/>
          <w:color w:val="auto"/>
          <w:sz w:val="24"/>
          <w:szCs w:val="20"/>
          <w:highlight w:val="none"/>
        </w:rPr>
        <w:t>提供服务</w:t>
      </w:r>
      <w:r>
        <w:rPr>
          <w:rFonts w:ascii="宋体" w:hAnsi="宋体" w:cs="@仿宋_GB2312"/>
          <w:color w:val="auto"/>
          <w:sz w:val="24"/>
          <w:szCs w:val="20"/>
          <w:highlight w:val="none"/>
        </w:rPr>
        <w:t>的情况，应及时以书面形式将不能按时</w:t>
      </w:r>
      <w:r>
        <w:rPr>
          <w:rFonts w:hint="eastAsia" w:ascii="宋体" w:hAnsi="宋体" w:cs="@仿宋_GB2312"/>
          <w:color w:val="auto"/>
          <w:sz w:val="24"/>
          <w:szCs w:val="20"/>
          <w:highlight w:val="none"/>
        </w:rPr>
        <w:t>提供服务</w:t>
      </w:r>
      <w:r>
        <w:rPr>
          <w:rFonts w:ascii="宋体" w:hAnsi="宋体" w:cs="@仿宋_GB2312"/>
          <w:color w:val="auto"/>
          <w:sz w:val="24"/>
          <w:szCs w:val="20"/>
          <w:highlight w:val="none"/>
        </w:rPr>
        <w:t>的理由、预期延误时间通知甲方</w:t>
      </w:r>
      <w:r>
        <w:rPr>
          <w:rFonts w:hint="eastAsia" w:ascii="宋体" w:hAnsi="宋体" w:cs="@仿宋_GB2312"/>
          <w:color w:val="auto"/>
          <w:sz w:val="24"/>
          <w:szCs w:val="20"/>
          <w:highlight w:val="none"/>
        </w:rPr>
        <w:t>；甲</w:t>
      </w:r>
      <w:r>
        <w:rPr>
          <w:rFonts w:ascii="宋体" w:hAnsi="宋体" w:cs="@仿宋_GB2312"/>
          <w:color w:val="auto"/>
          <w:sz w:val="24"/>
          <w:szCs w:val="20"/>
          <w:highlight w:val="none"/>
        </w:rPr>
        <w:t>方收到乙方通知后，认为其理由正当的，可以书面形式酌情同意乙方可以延长</w:t>
      </w:r>
      <w:r>
        <w:rPr>
          <w:rFonts w:hint="eastAsia" w:ascii="宋体" w:hAnsi="宋体" w:cs="@仿宋_GB2312"/>
          <w:color w:val="auto"/>
          <w:sz w:val="24"/>
          <w:szCs w:val="20"/>
          <w:highlight w:val="none"/>
        </w:rPr>
        <w:t>履行</w:t>
      </w:r>
      <w:r>
        <w:rPr>
          <w:rFonts w:ascii="宋体" w:hAnsi="宋体" w:cs="@仿宋_GB2312"/>
          <w:color w:val="auto"/>
          <w:sz w:val="24"/>
          <w:szCs w:val="20"/>
          <w:highlight w:val="none"/>
        </w:rPr>
        <w:t>的具体时间。</w:t>
      </w:r>
    </w:p>
    <w:p w14:paraId="79D5AA55">
      <w:pPr>
        <w:spacing w:line="360" w:lineRule="auto"/>
        <w:ind w:firstLine="437"/>
        <w:outlineLvl w:val="9"/>
        <w:rPr>
          <w:rFonts w:ascii="宋体" w:hAnsi="宋体" w:cs="@仿宋_GB2312"/>
          <w:b/>
          <w:bCs/>
          <w:color w:val="auto"/>
          <w:sz w:val="24"/>
          <w:szCs w:val="20"/>
          <w:highlight w:val="none"/>
          <w:lang w:val="zh-CN"/>
        </w:rPr>
      </w:pPr>
      <w:r>
        <w:rPr>
          <w:rFonts w:ascii="宋体" w:hAnsi="宋体" w:cs="@仿宋_GB2312"/>
          <w:b/>
          <w:bCs/>
          <w:color w:val="auto"/>
          <w:sz w:val="24"/>
          <w:szCs w:val="20"/>
          <w:highlight w:val="none"/>
          <w:lang w:val="zh-CN"/>
        </w:rPr>
        <w:t>2.9 合同变更</w:t>
      </w:r>
    </w:p>
    <w:p w14:paraId="6CEC7BDE">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9</w:t>
      </w:r>
      <w:r>
        <w:rPr>
          <w:rFonts w:hint="eastAsia" w:ascii="宋体" w:hAnsi="宋体" w:cs="@仿宋_GB2312"/>
          <w:color w:val="auto"/>
          <w:sz w:val="24"/>
          <w:szCs w:val="20"/>
          <w:highlight w:val="none"/>
        </w:rPr>
        <w:t>.1双方当事人协商一致，可以签订书面补充合同的形式变更合同，但不得违背采购文件确定的事项；</w:t>
      </w:r>
    </w:p>
    <w:p w14:paraId="48871267">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9</w:t>
      </w:r>
      <w:r>
        <w:rPr>
          <w:rFonts w:hint="eastAsia" w:ascii="宋体" w:hAnsi="宋体" w:cs="@仿宋_GB2312"/>
          <w:color w:val="auto"/>
          <w:sz w:val="24"/>
          <w:szCs w:val="20"/>
          <w:highlight w:val="none"/>
        </w:rPr>
        <w:t>.2合同继续履行将损害国家利益和社会公共利益的，双方当事人应当以书面形式变更合同。有过错的一方应当承担赔偿责任，双方当事人都有过错的，各自承担相应的责任。</w:t>
      </w:r>
    </w:p>
    <w:p w14:paraId="11BB28F6">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2.1</w:t>
      </w:r>
      <w:r>
        <w:rPr>
          <w:rFonts w:ascii="宋体" w:hAnsi="宋体" w:cs="@仿宋_GB2312"/>
          <w:b/>
          <w:bCs/>
          <w:color w:val="auto"/>
          <w:sz w:val="24"/>
          <w:szCs w:val="20"/>
          <w:highlight w:val="none"/>
          <w:lang w:val="zh-CN"/>
        </w:rPr>
        <w:t>0</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合同转让和分包</w:t>
      </w:r>
    </w:p>
    <w:p w14:paraId="2424AF92">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合同的权利义务依法不</w:t>
      </w:r>
      <w:r>
        <w:rPr>
          <w:rFonts w:hint="eastAsia" w:ascii="宋体" w:hAnsi="宋体" w:cs="@仿宋_GB2312"/>
          <w:color w:val="auto"/>
          <w:sz w:val="24"/>
          <w:szCs w:val="20"/>
          <w:highlight w:val="none"/>
        </w:rPr>
        <w:t>得</w:t>
      </w:r>
      <w:r>
        <w:rPr>
          <w:rFonts w:ascii="宋体" w:hAnsi="宋体" w:cs="@仿宋_GB2312"/>
          <w:color w:val="auto"/>
          <w:sz w:val="24"/>
          <w:szCs w:val="20"/>
          <w:highlight w:val="none"/>
        </w:rPr>
        <w:t>转让</w:t>
      </w:r>
      <w:r>
        <w:rPr>
          <w:rFonts w:hint="eastAsia" w:ascii="宋体" w:hAnsi="宋体" w:cs="@仿宋_GB2312"/>
          <w:color w:val="auto"/>
          <w:sz w:val="24"/>
          <w:szCs w:val="20"/>
          <w:highlight w:val="none"/>
        </w:rPr>
        <w:t>，</w:t>
      </w:r>
      <w:r>
        <w:rPr>
          <w:rFonts w:ascii="宋体" w:hAnsi="宋体" w:cs="@仿宋_GB2312"/>
          <w:color w:val="auto"/>
          <w:sz w:val="24"/>
          <w:szCs w:val="20"/>
          <w:highlight w:val="none"/>
        </w:rPr>
        <w:t>但经甲方</w:t>
      </w:r>
      <w:r>
        <w:rPr>
          <w:rFonts w:hint="eastAsia" w:ascii="宋体" w:hAnsi="宋体" w:cs="@仿宋_GB2312"/>
          <w:color w:val="auto"/>
          <w:sz w:val="24"/>
          <w:szCs w:val="20"/>
          <w:highlight w:val="none"/>
        </w:rPr>
        <w:t>同意，乙方可以依法采取分包方式履行合同，即：依法可以</w:t>
      </w:r>
      <w:r>
        <w:rPr>
          <w:rFonts w:ascii="宋体" w:hAnsi="宋体" w:cs="@仿宋_GB2312"/>
          <w:color w:val="auto"/>
          <w:sz w:val="24"/>
          <w:szCs w:val="20"/>
          <w:highlight w:val="none"/>
        </w:rPr>
        <w:t>将合同项下的部分非主体、非关键性工作分包给他人完成</w:t>
      </w:r>
      <w:r>
        <w:rPr>
          <w:rFonts w:hint="eastAsia" w:ascii="宋体" w:hAnsi="宋体" w:cs="@仿宋_GB2312"/>
          <w:color w:val="auto"/>
          <w:sz w:val="24"/>
          <w:szCs w:val="20"/>
          <w:highlight w:val="none"/>
        </w:rPr>
        <w:t>，</w:t>
      </w:r>
      <w:r>
        <w:rPr>
          <w:rFonts w:ascii="宋体" w:hAnsi="宋体" w:cs="@仿宋_GB2312"/>
          <w:color w:val="auto"/>
          <w:sz w:val="24"/>
          <w:szCs w:val="20"/>
          <w:highlight w:val="none"/>
        </w:rPr>
        <w:t>接受分包的人应当具备相应的资格条件，并不得再次分包</w:t>
      </w:r>
      <w:r>
        <w:rPr>
          <w:rFonts w:hint="eastAsia" w:ascii="宋体" w:hAnsi="宋体" w:cs="@仿宋_GB2312"/>
          <w:color w:val="auto"/>
          <w:sz w:val="24"/>
          <w:szCs w:val="20"/>
          <w:highlight w:val="none"/>
        </w:rPr>
        <w:t>，</w:t>
      </w:r>
      <w:r>
        <w:rPr>
          <w:rFonts w:ascii="宋体" w:hAnsi="宋体" w:cs="@仿宋_GB2312"/>
          <w:color w:val="auto"/>
          <w:sz w:val="24"/>
          <w:szCs w:val="20"/>
          <w:highlight w:val="none"/>
        </w:rPr>
        <w:t>且乙方应就分包项目向甲方负责</w:t>
      </w:r>
      <w:r>
        <w:rPr>
          <w:rFonts w:hint="eastAsia" w:ascii="宋体" w:hAnsi="宋体" w:cs="@仿宋_GB2312"/>
          <w:color w:val="auto"/>
          <w:sz w:val="24"/>
          <w:szCs w:val="20"/>
          <w:highlight w:val="none"/>
        </w:rPr>
        <w:t>，</w:t>
      </w:r>
      <w:r>
        <w:rPr>
          <w:rFonts w:ascii="宋体" w:hAnsi="宋体" w:cs="@仿宋_GB2312"/>
          <w:color w:val="auto"/>
          <w:sz w:val="24"/>
          <w:szCs w:val="20"/>
          <w:highlight w:val="none"/>
        </w:rPr>
        <w:t>并</w:t>
      </w:r>
      <w:r>
        <w:rPr>
          <w:rFonts w:hint="eastAsia" w:ascii="宋体" w:hAnsi="宋体" w:cs="@仿宋_GB2312"/>
          <w:color w:val="auto"/>
          <w:sz w:val="24"/>
          <w:szCs w:val="20"/>
          <w:highlight w:val="none"/>
        </w:rPr>
        <w:t>与分包供应商就分包项目向甲方承担连带责任。</w:t>
      </w:r>
    </w:p>
    <w:p w14:paraId="5D3C9EEE">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2.1</w:t>
      </w:r>
      <w:r>
        <w:rPr>
          <w:rFonts w:ascii="宋体" w:hAnsi="宋体" w:cs="@仿宋_GB2312"/>
          <w:b/>
          <w:bCs/>
          <w:color w:val="auto"/>
          <w:sz w:val="24"/>
          <w:szCs w:val="20"/>
          <w:highlight w:val="none"/>
          <w:lang w:val="zh-CN"/>
        </w:rPr>
        <w:t>1 不可抗力</w:t>
      </w:r>
    </w:p>
    <w:p w14:paraId="4E419B65">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1.1如果任何一方遭遇法律规定的不可抗力，致使合同履行受阻时，履行合同的期限应予延长，延长的期限应相当于不可抗力所影响的时间</w:t>
      </w:r>
      <w:r>
        <w:rPr>
          <w:rFonts w:hint="eastAsia" w:ascii="宋体" w:hAnsi="宋体" w:cs="@仿宋_GB2312"/>
          <w:color w:val="auto"/>
          <w:sz w:val="24"/>
          <w:szCs w:val="20"/>
          <w:highlight w:val="none"/>
        </w:rPr>
        <w:t>；</w:t>
      </w:r>
    </w:p>
    <w:p w14:paraId="148CD191">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1</w:t>
      </w:r>
      <w:r>
        <w:rPr>
          <w:rFonts w:hint="eastAsia" w:ascii="宋体" w:hAnsi="宋体" w:cs="@仿宋_GB2312"/>
          <w:color w:val="auto"/>
          <w:sz w:val="24"/>
          <w:szCs w:val="20"/>
          <w:highlight w:val="none"/>
        </w:rPr>
        <w:t>.2因不可抗力致使不能实现合同目的的，当事人可以解除合同；</w:t>
      </w:r>
    </w:p>
    <w:p w14:paraId="3DF53AB5">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1</w:t>
      </w:r>
      <w:r>
        <w:rPr>
          <w:rFonts w:hint="eastAsia" w:ascii="宋体" w:hAnsi="宋体" w:cs="@仿宋_GB2312"/>
          <w:color w:val="auto"/>
          <w:sz w:val="24"/>
          <w:szCs w:val="20"/>
          <w:highlight w:val="none"/>
        </w:rPr>
        <w:t>.3因</w:t>
      </w:r>
      <w:r>
        <w:rPr>
          <w:rFonts w:ascii="宋体" w:hAnsi="宋体" w:cs="@仿宋_GB2312"/>
          <w:color w:val="auto"/>
          <w:sz w:val="24"/>
          <w:szCs w:val="20"/>
          <w:highlight w:val="none"/>
        </w:rPr>
        <w:t>不可抗力致使合同有变更必要的，双方当事人应在</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约定时间内以书面形式变更合同</w:t>
      </w:r>
      <w:r>
        <w:rPr>
          <w:rFonts w:hint="eastAsia" w:ascii="宋体" w:hAnsi="宋体" w:cs="@仿宋_GB2312"/>
          <w:color w:val="auto"/>
          <w:sz w:val="24"/>
          <w:szCs w:val="20"/>
          <w:highlight w:val="none"/>
        </w:rPr>
        <w:t>；</w:t>
      </w:r>
    </w:p>
    <w:p w14:paraId="1B9D940B">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1.</w:t>
      </w:r>
      <w:r>
        <w:rPr>
          <w:rFonts w:hint="eastAsia" w:ascii="宋体" w:hAnsi="宋体" w:cs="@仿宋_GB2312"/>
          <w:color w:val="auto"/>
          <w:sz w:val="24"/>
          <w:szCs w:val="20"/>
          <w:highlight w:val="none"/>
        </w:rPr>
        <w:t>4</w:t>
      </w:r>
      <w:r>
        <w:rPr>
          <w:rFonts w:ascii="宋体" w:hAnsi="宋体" w:cs="@仿宋_GB2312"/>
          <w:color w:val="auto"/>
          <w:sz w:val="24"/>
          <w:szCs w:val="20"/>
          <w:highlight w:val="none"/>
        </w:rPr>
        <w:t>受</w:t>
      </w:r>
      <w:r>
        <w:rPr>
          <w:rFonts w:hint="eastAsia" w:ascii="宋体" w:hAnsi="宋体" w:cs="@仿宋_GB2312"/>
          <w:color w:val="auto"/>
          <w:sz w:val="24"/>
          <w:szCs w:val="20"/>
          <w:highlight w:val="none"/>
        </w:rPr>
        <w:t>不可抗力</w:t>
      </w:r>
      <w:r>
        <w:rPr>
          <w:rFonts w:ascii="宋体" w:hAnsi="宋体" w:cs="@仿宋_GB2312"/>
          <w:color w:val="auto"/>
          <w:sz w:val="24"/>
          <w:szCs w:val="20"/>
          <w:highlight w:val="none"/>
        </w:rPr>
        <w:t>影响的一方在不可抗力发生后</w:t>
      </w:r>
      <w:r>
        <w:rPr>
          <w:rFonts w:hint="eastAsia" w:ascii="宋体" w:hAnsi="宋体" w:cs="@仿宋_GB2312"/>
          <w:color w:val="auto"/>
          <w:sz w:val="24"/>
          <w:szCs w:val="20"/>
          <w:highlight w:val="none"/>
        </w:rPr>
        <w:t>，</w:t>
      </w:r>
      <w:r>
        <w:rPr>
          <w:rFonts w:ascii="宋体" w:hAnsi="宋体" w:cs="@仿宋_GB2312"/>
          <w:color w:val="auto"/>
          <w:sz w:val="24"/>
          <w:szCs w:val="20"/>
          <w:highlight w:val="none"/>
        </w:rPr>
        <w:t>应在</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约定时间内以书面形式通知</w:t>
      </w:r>
      <w:r>
        <w:rPr>
          <w:rFonts w:hint="eastAsia" w:ascii="宋体" w:hAnsi="宋体" w:cs="@仿宋_GB2312"/>
          <w:color w:val="auto"/>
          <w:sz w:val="24"/>
          <w:szCs w:val="20"/>
          <w:highlight w:val="none"/>
        </w:rPr>
        <w:t>对</w:t>
      </w:r>
      <w:r>
        <w:rPr>
          <w:rFonts w:ascii="宋体" w:hAnsi="宋体" w:cs="@仿宋_GB2312"/>
          <w:color w:val="auto"/>
          <w:sz w:val="24"/>
          <w:szCs w:val="20"/>
          <w:highlight w:val="none"/>
        </w:rPr>
        <w:t>方当事人，并在</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约定时间内，将有关部门出具的证明文件送达</w:t>
      </w:r>
      <w:r>
        <w:rPr>
          <w:rFonts w:hint="eastAsia" w:ascii="宋体" w:hAnsi="宋体" w:cs="@仿宋_GB2312"/>
          <w:color w:val="auto"/>
          <w:sz w:val="24"/>
          <w:szCs w:val="20"/>
          <w:highlight w:val="none"/>
        </w:rPr>
        <w:t>对方当事人</w:t>
      </w:r>
      <w:r>
        <w:rPr>
          <w:rFonts w:ascii="宋体" w:hAnsi="宋体" w:cs="@仿宋_GB2312"/>
          <w:color w:val="auto"/>
          <w:sz w:val="24"/>
          <w:szCs w:val="20"/>
          <w:highlight w:val="none"/>
        </w:rPr>
        <w:t>。</w:t>
      </w:r>
    </w:p>
    <w:p w14:paraId="1729CE34">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12</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税费</w:t>
      </w:r>
    </w:p>
    <w:p w14:paraId="5AAEE6C0">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与合同有关的一切税费</w:t>
      </w:r>
      <w:r>
        <w:rPr>
          <w:rFonts w:hint="eastAsia" w:ascii="宋体" w:hAnsi="宋体" w:cs="@仿宋_GB2312"/>
          <w:color w:val="auto"/>
          <w:sz w:val="24"/>
          <w:szCs w:val="20"/>
          <w:highlight w:val="none"/>
        </w:rPr>
        <w:t>，</w:t>
      </w:r>
      <w:r>
        <w:rPr>
          <w:rFonts w:ascii="宋体" w:hAnsi="宋体" w:cs="@仿宋_GB2312"/>
          <w:color w:val="auto"/>
          <w:sz w:val="24"/>
          <w:szCs w:val="20"/>
          <w:highlight w:val="none"/>
        </w:rPr>
        <w:t>均按照中华人民共和国法律的相关规定</w:t>
      </w:r>
      <w:r>
        <w:rPr>
          <w:rFonts w:hint="eastAsia" w:ascii="宋体" w:hAnsi="宋体" w:cs="@仿宋_GB2312"/>
          <w:color w:val="auto"/>
          <w:sz w:val="24"/>
          <w:szCs w:val="20"/>
          <w:highlight w:val="none"/>
        </w:rPr>
        <w:t>缴纳</w:t>
      </w:r>
      <w:r>
        <w:rPr>
          <w:rFonts w:ascii="宋体" w:hAnsi="宋体" w:cs="@仿宋_GB2312"/>
          <w:color w:val="auto"/>
          <w:sz w:val="24"/>
          <w:szCs w:val="20"/>
          <w:highlight w:val="none"/>
        </w:rPr>
        <w:t>。</w:t>
      </w:r>
    </w:p>
    <w:p w14:paraId="35555D7B">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13</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乙方破产</w:t>
      </w:r>
    </w:p>
    <w:p w14:paraId="5FABD583">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如果乙方破产导致合同无法履行时，甲方可以书面形式通知乙方终止合同且不给予乙方任何补偿和赔偿</w:t>
      </w:r>
      <w:r>
        <w:rPr>
          <w:rFonts w:hint="eastAsia" w:ascii="宋体" w:hAnsi="宋体" w:cs="@仿宋_GB2312"/>
          <w:color w:val="auto"/>
          <w:sz w:val="24"/>
          <w:szCs w:val="20"/>
          <w:highlight w:val="none"/>
        </w:rPr>
        <w:t>，但合同的</w:t>
      </w:r>
      <w:r>
        <w:rPr>
          <w:rFonts w:ascii="宋体" w:hAnsi="宋体" w:cs="@仿宋_GB2312"/>
          <w:color w:val="auto"/>
          <w:sz w:val="24"/>
          <w:szCs w:val="20"/>
          <w:highlight w:val="none"/>
        </w:rPr>
        <w:t>终止不损害或不影响甲方已经采取或将要采取的任何要求乙方支付违约金</w:t>
      </w:r>
      <w:r>
        <w:rPr>
          <w:rFonts w:hint="eastAsia" w:ascii="宋体" w:hAnsi="宋体" w:cs="@仿宋_GB2312"/>
          <w:color w:val="auto"/>
          <w:sz w:val="24"/>
          <w:szCs w:val="20"/>
          <w:highlight w:val="none"/>
        </w:rPr>
        <w:t>、</w:t>
      </w:r>
      <w:r>
        <w:rPr>
          <w:rFonts w:ascii="宋体" w:hAnsi="宋体" w:cs="@仿宋_GB2312"/>
          <w:color w:val="auto"/>
          <w:sz w:val="24"/>
          <w:szCs w:val="20"/>
          <w:highlight w:val="none"/>
        </w:rPr>
        <w:t>赔偿损失等的行动或补救措施的权利</w:t>
      </w:r>
      <w:r>
        <w:rPr>
          <w:rFonts w:hint="eastAsia" w:ascii="宋体" w:hAnsi="宋体" w:cs="@仿宋_GB2312"/>
          <w:color w:val="auto"/>
          <w:sz w:val="24"/>
          <w:szCs w:val="20"/>
          <w:highlight w:val="none"/>
        </w:rPr>
        <w:t>。</w:t>
      </w:r>
    </w:p>
    <w:p w14:paraId="11EEA1C1">
      <w:pPr>
        <w:spacing w:line="360" w:lineRule="auto"/>
        <w:ind w:firstLine="437"/>
        <w:outlineLvl w:val="9"/>
        <w:rPr>
          <w:rFonts w:ascii="宋体" w:hAnsi="宋体" w:cs="@仿宋_GB2312"/>
          <w:b/>
          <w:color w:val="auto"/>
          <w:sz w:val="24"/>
          <w:szCs w:val="20"/>
          <w:highlight w:val="none"/>
        </w:rPr>
      </w:pPr>
      <w:r>
        <w:rPr>
          <w:rFonts w:hint="eastAsia" w:ascii="宋体" w:hAnsi="宋体" w:cs="@仿宋_GB2312"/>
          <w:b/>
          <w:bCs/>
          <w:color w:val="auto"/>
          <w:sz w:val="24"/>
          <w:szCs w:val="20"/>
          <w:highlight w:val="none"/>
          <w:lang w:val="zh-CN"/>
        </w:rPr>
        <w:t>2.1</w:t>
      </w:r>
      <w:r>
        <w:rPr>
          <w:rFonts w:ascii="宋体" w:hAnsi="宋体" w:cs="@仿宋_GB2312"/>
          <w:b/>
          <w:bCs/>
          <w:color w:val="auto"/>
          <w:sz w:val="24"/>
          <w:szCs w:val="20"/>
          <w:highlight w:val="none"/>
          <w:lang w:val="zh-CN"/>
        </w:rPr>
        <w:t>4</w:t>
      </w:r>
      <w:r>
        <w:rPr>
          <w:rFonts w:hint="eastAsia" w:ascii="宋体" w:hAnsi="宋体" w:cs="@仿宋_GB2312"/>
          <w:b/>
          <w:bCs/>
          <w:color w:val="auto"/>
          <w:sz w:val="24"/>
          <w:szCs w:val="20"/>
          <w:highlight w:val="none"/>
          <w:lang w:val="zh-CN"/>
        </w:rPr>
        <w:t xml:space="preserve"> 合同中止、终止</w:t>
      </w:r>
    </w:p>
    <w:p w14:paraId="55D83F15">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4</w:t>
      </w:r>
      <w:r>
        <w:rPr>
          <w:rFonts w:hint="eastAsia" w:ascii="宋体" w:hAnsi="宋体" w:cs="@仿宋_GB2312"/>
          <w:color w:val="auto"/>
          <w:sz w:val="24"/>
          <w:szCs w:val="20"/>
          <w:highlight w:val="none"/>
        </w:rPr>
        <w:t>.1双方当事人不得擅自中止或者终止合同；</w:t>
      </w:r>
    </w:p>
    <w:p w14:paraId="3F3F516D">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w:t>
      </w:r>
      <w:r>
        <w:rPr>
          <w:rFonts w:ascii="宋体" w:hAnsi="宋体" w:cs="@仿宋_GB2312"/>
          <w:color w:val="auto"/>
          <w:sz w:val="24"/>
          <w:szCs w:val="20"/>
          <w:highlight w:val="none"/>
        </w:rPr>
        <w:t>4</w:t>
      </w:r>
      <w:r>
        <w:rPr>
          <w:rFonts w:hint="eastAsia" w:ascii="宋体" w:hAnsi="宋体" w:cs="@仿宋_GB2312"/>
          <w:color w:val="auto"/>
          <w:sz w:val="24"/>
          <w:szCs w:val="20"/>
          <w:highlight w:val="none"/>
        </w:rPr>
        <w:t>.2合同继续履行将损害国家利益和社会公共利益的，双方当事人应当中止或者终止合同。有过错的一方应当承担赔偿责任，双方当事人都有过错的，各自承担相应的责任。</w:t>
      </w:r>
    </w:p>
    <w:p w14:paraId="3F6618A7">
      <w:pPr>
        <w:spacing w:line="360" w:lineRule="auto"/>
        <w:ind w:firstLine="437"/>
        <w:outlineLvl w:val="9"/>
        <w:rPr>
          <w:rFonts w:ascii="宋体" w:hAnsi="宋体" w:cs="@仿宋_GB2312"/>
          <w:b/>
          <w:bCs/>
          <w:color w:val="auto"/>
          <w:sz w:val="24"/>
          <w:szCs w:val="20"/>
          <w:highlight w:val="none"/>
          <w:lang w:val="zh-CN"/>
        </w:rPr>
      </w:pPr>
      <w:r>
        <w:rPr>
          <w:rFonts w:hint="eastAsia" w:ascii="宋体" w:hAnsi="宋体" w:cs="@仿宋_GB2312"/>
          <w:b/>
          <w:bCs/>
          <w:color w:val="auto"/>
          <w:sz w:val="24"/>
          <w:szCs w:val="20"/>
          <w:highlight w:val="none"/>
          <w:lang w:val="zh-CN"/>
        </w:rPr>
        <w:t>2.1</w:t>
      </w:r>
      <w:r>
        <w:rPr>
          <w:rFonts w:ascii="宋体" w:hAnsi="宋体" w:cs="@仿宋_GB2312"/>
          <w:b/>
          <w:bCs/>
          <w:color w:val="auto"/>
          <w:sz w:val="24"/>
          <w:szCs w:val="20"/>
          <w:highlight w:val="none"/>
          <w:lang w:val="zh-CN"/>
        </w:rPr>
        <w:t>5</w:t>
      </w:r>
      <w:r>
        <w:rPr>
          <w:rFonts w:hint="eastAsia" w:ascii="宋体" w:hAnsi="宋体" w:cs="@仿宋_GB2312"/>
          <w:b/>
          <w:bCs/>
          <w:color w:val="auto"/>
          <w:sz w:val="24"/>
          <w:szCs w:val="20"/>
          <w:highlight w:val="none"/>
          <w:lang w:val="zh-CN"/>
        </w:rPr>
        <w:t xml:space="preserve"> 检验和验收</w:t>
      </w:r>
    </w:p>
    <w:p w14:paraId="460BA831">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w:t>
      </w:r>
      <w:r>
        <w:rPr>
          <w:rFonts w:hint="eastAsia" w:ascii="宋体" w:hAnsi="宋体" w:cs="@仿宋_GB2312"/>
          <w:color w:val="auto"/>
          <w:sz w:val="24"/>
          <w:szCs w:val="20"/>
          <w:highlight w:val="none"/>
        </w:rPr>
        <w:t>5</w:t>
      </w:r>
      <w:r>
        <w:rPr>
          <w:rFonts w:ascii="宋体" w:hAnsi="宋体" w:cs="@仿宋_GB2312"/>
          <w:color w:val="auto"/>
          <w:sz w:val="24"/>
          <w:szCs w:val="20"/>
          <w:highlight w:val="none"/>
        </w:rPr>
        <w:t>.</w:t>
      </w:r>
      <w:r>
        <w:rPr>
          <w:rFonts w:hint="eastAsia" w:ascii="宋体" w:hAnsi="宋体" w:cs="@仿宋_GB2312"/>
          <w:color w:val="auto"/>
          <w:sz w:val="24"/>
          <w:szCs w:val="20"/>
          <w:highlight w:val="none"/>
        </w:rPr>
        <w:t>1乙方按照</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的约定</w:t>
      </w:r>
      <w:r>
        <w:rPr>
          <w:rFonts w:hint="eastAsia" w:ascii="宋体" w:hAnsi="宋体" w:cs="@仿宋_GB2312"/>
          <w:color w:val="auto"/>
          <w:sz w:val="24"/>
          <w:szCs w:val="20"/>
          <w:highlight w:val="none"/>
        </w:rPr>
        <w:t>，</w:t>
      </w:r>
      <w:r>
        <w:rPr>
          <w:rFonts w:ascii="宋体" w:hAnsi="宋体" w:cs="@仿宋_GB2312"/>
          <w:color w:val="auto"/>
          <w:sz w:val="24"/>
          <w:szCs w:val="20"/>
          <w:highlight w:val="none"/>
        </w:rPr>
        <w:t>定期提交服务报告</w:t>
      </w:r>
      <w:r>
        <w:rPr>
          <w:rFonts w:hint="eastAsia" w:ascii="宋体" w:hAnsi="宋体" w:cs="@仿宋_GB2312"/>
          <w:color w:val="auto"/>
          <w:sz w:val="24"/>
          <w:szCs w:val="20"/>
          <w:highlight w:val="none"/>
        </w:rPr>
        <w:t>，甲方按照</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的约定进行定期验收</w:t>
      </w:r>
      <w:r>
        <w:rPr>
          <w:rFonts w:hint="eastAsia" w:ascii="宋体" w:hAnsi="宋体" w:cs="@仿宋_GB2312"/>
          <w:color w:val="auto"/>
          <w:sz w:val="24"/>
          <w:szCs w:val="20"/>
          <w:highlight w:val="none"/>
        </w:rPr>
        <w:t>；</w:t>
      </w:r>
    </w:p>
    <w:p w14:paraId="4097DE5E">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A79BCB0">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2.15.3检验和验收标准、程序等具体内容以及前述验收书的效力详见</w:t>
      </w:r>
      <w:r>
        <w:rPr>
          <w:rFonts w:ascii="宋体" w:hAnsi="宋体" w:cs="@仿宋_GB2312"/>
          <w:b/>
          <w:i/>
          <w:color w:val="auto"/>
          <w:sz w:val="24"/>
          <w:szCs w:val="20"/>
          <w:highlight w:val="none"/>
          <w:u w:val="single"/>
        </w:rPr>
        <w:t>合同专用条款</w:t>
      </w:r>
      <w:r>
        <w:rPr>
          <w:rFonts w:hint="eastAsia" w:ascii="宋体" w:hAnsi="宋体" w:cs="@仿宋_GB2312"/>
          <w:i/>
          <w:color w:val="auto"/>
          <w:sz w:val="24"/>
          <w:szCs w:val="20"/>
          <w:highlight w:val="none"/>
        </w:rPr>
        <w:t>。</w:t>
      </w:r>
    </w:p>
    <w:p w14:paraId="3312F63A">
      <w:pPr>
        <w:spacing w:line="360" w:lineRule="auto"/>
        <w:ind w:firstLine="437"/>
        <w:outlineLvl w:val="9"/>
        <w:rPr>
          <w:rFonts w:ascii="宋体" w:hAnsi="宋体" w:cs="@仿宋_GB2312"/>
          <w:b/>
          <w:bCs/>
          <w:color w:val="auto"/>
          <w:sz w:val="24"/>
          <w:szCs w:val="20"/>
          <w:highlight w:val="none"/>
        </w:rPr>
      </w:pPr>
      <w:r>
        <w:rPr>
          <w:rFonts w:hint="eastAsia" w:ascii="宋体" w:hAnsi="宋体" w:cs="@仿宋_GB2312"/>
          <w:b/>
          <w:bCs/>
          <w:color w:val="auto"/>
          <w:sz w:val="24"/>
          <w:szCs w:val="20"/>
          <w:highlight w:val="none"/>
        </w:rPr>
        <w:t>2.</w:t>
      </w:r>
      <w:r>
        <w:rPr>
          <w:rFonts w:ascii="宋体" w:hAnsi="宋体" w:cs="@仿宋_GB2312"/>
          <w:b/>
          <w:bCs/>
          <w:color w:val="auto"/>
          <w:sz w:val="24"/>
          <w:szCs w:val="20"/>
          <w:highlight w:val="none"/>
        </w:rPr>
        <w:t>16</w:t>
      </w:r>
      <w:r>
        <w:rPr>
          <w:rFonts w:hint="eastAsia" w:ascii="宋体" w:hAnsi="宋体" w:cs="@仿宋_GB2312"/>
          <w:b/>
          <w:bCs/>
          <w:color w:val="auto"/>
          <w:sz w:val="24"/>
          <w:szCs w:val="20"/>
          <w:highlight w:val="none"/>
        </w:rPr>
        <w:t xml:space="preserve"> </w:t>
      </w:r>
      <w:r>
        <w:rPr>
          <w:rFonts w:hint="eastAsia" w:ascii="宋体" w:hAnsi="宋体" w:cs="@仿宋_GB2312"/>
          <w:b/>
          <w:bCs/>
          <w:color w:val="auto"/>
          <w:sz w:val="24"/>
          <w:szCs w:val="20"/>
          <w:highlight w:val="none"/>
          <w:lang w:val="zh-CN"/>
        </w:rPr>
        <w:t>合同使用的文字和</w:t>
      </w:r>
      <w:r>
        <w:rPr>
          <w:rFonts w:ascii="宋体" w:hAnsi="宋体" w:cs="@仿宋_GB2312"/>
          <w:b/>
          <w:bCs/>
          <w:color w:val="auto"/>
          <w:sz w:val="24"/>
          <w:szCs w:val="20"/>
          <w:highlight w:val="none"/>
          <w:lang w:val="zh-CN"/>
        </w:rPr>
        <w:t>适用的法律</w:t>
      </w:r>
    </w:p>
    <w:p w14:paraId="0AFF93AF">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16.1合同使用汉语书就</w:t>
      </w:r>
      <w:r>
        <w:rPr>
          <w:rFonts w:hint="eastAsia" w:ascii="宋体" w:hAnsi="宋体" w:cs="@仿宋_GB2312"/>
          <w:color w:val="auto"/>
          <w:sz w:val="24"/>
          <w:szCs w:val="20"/>
          <w:highlight w:val="none"/>
        </w:rPr>
        <w:t>、</w:t>
      </w:r>
      <w:r>
        <w:rPr>
          <w:rFonts w:ascii="宋体" w:hAnsi="宋体" w:cs="@仿宋_GB2312"/>
          <w:color w:val="auto"/>
          <w:sz w:val="24"/>
          <w:szCs w:val="20"/>
          <w:highlight w:val="none"/>
        </w:rPr>
        <w:t>变更和解释</w:t>
      </w:r>
      <w:r>
        <w:rPr>
          <w:rFonts w:hint="eastAsia" w:ascii="宋体" w:hAnsi="宋体" w:cs="@仿宋_GB2312"/>
          <w:color w:val="auto"/>
          <w:sz w:val="24"/>
          <w:szCs w:val="20"/>
          <w:highlight w:val="none"/>
        </w:rPr>
        <w:t>；</w:t>
      </w:r>
    </w:p>
    <w:p w14:paraId="323B6910">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16</w:t>
      </w:r>
      <w:r>
        <w:rPr>
          <w:rFonts w:hint="eastAsia" w:ascii="宋体" w:hAnsi="宋体" w:cs="@仿宋_GB2312"/>
          <w:color w:val="auto"/>
          <w:sz w:val="24"/>
          <w:szCs w:val="20"/>
          <w:highlight w:val="none"/>
        </w:rPr>
        <w:t>.2合同适用</w:t>
      </w:r>
      <w:r>
        <w:rPr>
          <w:rFonts w:ascii="宋体" w:hAnsi="宋体" w:cs="@仿宋_GB2312"/>
          <w:color w:val="auto"/>
          <w:sz w:val="24"/>
          <w:szCs w:val="20"/>
          <w:highlight w:val="none"/>
        </w:rPr>
        <w:t>中华人民共和国法律。</w:t>
      </w:r>
    </w:p>
    <w:p w14:paraId="770F4D8C">
      <w:pPr>
        <w:spacing w:line="360" w:lineRule="auto"/>
        <w:ind w:firstLine="437"/>
        <w:outlineLvl w:val="9"/>
        <w:rPr>
          <w:rFonts w:hint="default" w:ascii="宋体" w:hAnsi="宋体" w:eastAsia="宋体" w:cs="@仿宋_GB2312"/>
          <w:b/>
          <w:color w:val="auto"/>
          <w:sz w:val="24"/>
          <w:szCs w:val="20"/>
          <w:highlight w:val="none"/>
          <w:lang w:val="en-US" w:eastAsia="zh-CN"/>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17</w:t>
      </w:r>
      <w:r>
        <w:rPr>
          <w:rFonts w:hint="eastAsia" w:ascii="宋体" w:hAnsi="宋体" w:cs="@仿宋_GB2312"/>
          <w:b/>
          <w:bCs/>
          <w:color w:val="auto"/>
          <w:sz w:val="24"/>
          <w:szCs w:val="20"/>
          <w:highlight w:val="none"/>
          <w:lang w:val="zh-CN"/>
        </w:rPr>
        <w:t xml:space="preserve"> </w:t>
      </w:r>
      <w:r>
        <w:rPr>
          <w:rFonts w:ascii="宋体" w:hAnsi="宋体" w:cs="@仿宋_GB2312"/>
          <w:b/>
          <w:bCs/>
          <w:color w:val="auto"/>
          <w:sz w:val="24"/>
          <w:szCs w:val="20"/>
          <w:highlight w:val="none"/>
          <w:lang w:val="zh-CN"/>
        </w:rPr>
        <w:t>履约保证金</w:t>
      </w:r>
    </w:p>
    <w:p w14:paraId="1481FECD">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17</w:t>
      </w:r>
      <w:r>
        <w:rPr>
          <w:rFonts w:hint="eastAsia" w:ascii="宋体" w:hAnsi="宋体" w:cs="@仿宋_GB2312"/>
          <w:color w:val="auto"/>
          <w:sz w:val="24"/>
          <w:szCs w:val="20"/>
          <w:highlight w:val="none"/>
        </w:rPr>
        <w:t>.1采购文件要求乙方提交履约保证金的，乙方</w:t>
      </w:r>
      <w:r>
        <w:rPr>
          <w:rFonts w:ascii="宋体" w:hAnsi="宋体" w:cs="@仿宋_GB2312"/>
          <w:color w:val="auto"/>
          <w:sz w:val="24"/>
          <w:szCs w:val="20"/>
          <w:highlight w:val="none"/>
        </w:rPr>
        <w:t>应按</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约定的方式</w:t>
      </w:r>
      <w:r>
        <w:rPr>
          <w:rFonts w:hint="eastAsia" w:ascii="宋体" w:hAnsi="宋体" w:cs="@仿宋_GB2312"/>
          <w:color w:val="auto"/>
          <w:sz w:val="24"/>
          <w:szCs w:val="20"/>
          <w:highlight w:val="none"/>
        </w:rPr>
        <w:t>，以支票、汇票、本票或者金融机构、担保机构出具的保函等非现金形式提交；</w:t>
      </w:r>
    </w:p>
    <w:p w14:paraId="3E465FB8">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17.2履约保证金在</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约定期间内不予退还或者应完全有效</w:t>
      </w:r>
      <w:r>
        <w:rPr>
          <w:rFonts w:hint="eastAsia" w:ascii="宋体" w:hAnsi="宋体" w:cs="@仿宋_GB2312"/>
          <w:color w:val="auto"/>
          <w:sz w:val="24"/>
          <w:szCs w:val="20"/>
          <w:highlight w:val="none"/>
        </w:rPr>
        <w:t>，前述约定期间届满</w:t>
      </w:r>
      <w:r>
        <w:rPr>
          <w:rFonts w:ascii="宋体" w:hAnsi="宋体" w:cs="@仿宋_GB2312"/>
          <w:color w:val="auto"/>
          <w:sz w:val="24"/>
          <w:szCs w:val="20"/>
          <w:highlight w:val="none"/>
        </w:rPr>
        <w:t>之日起</w:t>
      </w:r>
      <w:r>
        <w:rPr>
          <w:rFonts w:hint="eastAsia" w:ascii="宋体" w:hAnsi="宋体" w:cs="@仿宋_GB2312"/>
          <w:color w:val="auto"/>
          <w:sz w:val="24"/>
          <w:szCs w:val="20"/>
          <w:highlight w:val="none"/>
          <w:u w:val="single"/>
        </w:rPr>
        <w:t xml:space="preserve"> </w:t>
      </w:r>
      <w:r>
        <w:rPr>
          <w:rFonts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u w:val="single"/>
        </w:rPr>
        <w:t xml:space="preserve"> </w:t>
      </w:r>
      <w:r>
        <w:rPr>
          <w:rFonts w:hint="eastAsia" w:ascii="宋体" w:hAnsi="宋体" w:cs="@仿宋_GB2312"/>
          <w:color w:val="auto"/>
          <w:sz w:val="24"/>
          <w:szCs w:val="20"/>
          <w:highlight w:val="none"/>
        </w:rPr>
        <w:t>个</w:t>
      </w:r>
      <w:r>
        <w:rPr>
          <w:rFonts w:ascii="宋体" w:hAnsi="宋体" w:cs="@仿宋_GB2312"/>
          <w:color w:val="auto"/>
          <w:sz w:val="24"/>
          <w:szCs w:val="20"/>
          <w:highlight w:val="none"/>
        </w:rPr>
        <w:t>工作日内，甲方应将履约保证金退还乙方</w:t>
      </w:r>
      <w:r>
        <w:rPr>
          <w:rFonts w:hint="eastAsia" w:ascii="宋体" w:hAnsi="宋体" w:cs="@仿宋_GB2312"/>
          <w:color w:val="auto"/>
          <w:sz w:val="24"/>
          <w:szCs w:val="20"/>
          <w:highlight w:val="none"/>
        </w:rPr>
        <w:t>；</w:t>
      </w:r>
    </w:p>
    <w:p w14:paraId="52430972">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2.</w:t>
      </w:r>
      <w:r>
        <w:rPr>
          <w:rFonts w:ascii="宋体" w:hAnsi="宋体" w:cs="@仿宋_GB2312"/>
          <w:color w:val="auto"/>
          <w:sz w:val="24"/>
          <w:szCs w:val="20"/>
          <w:highlight w:val="none"/>
        </w:rPr>
        <w:t>17</w:t>
      </w:r>
      <w:r>
        <w:rPr>
          <w:rFonts w:hint="eastAsia" w:ascii="宋体" w:hAnsi="宋体" w:cs="@仿宋_GB2312"/>
          <w:color w:val="auto"/>
          <w:sz w:val="24"/>
          <w:szCs w:val="20"/>
          <w:highlight w:val="none"/>
        </w:rPr>
        <w:t>.3</w:t>
      </w:r>
      <w:r>
        <w:rPr>
          <w:rFonts w:ascii="宋体" w:hAnsi="宋体" w:cs="@仿宋_GB2312"/>
          <w:color w:val="auto"/>
          <w:sz w:val="24"/>
          <w:szCs w:val="20"/>
          <w:highlight w:val="none"/>
        </w:rPr>
        <w:t>如果乙方不履行合同</w:t>
      </w:r>
      <w:r>
        <w:rPr>
          <w:rFonts w:hint="eastAsia" w:ascii="宋体" w:hAnsi="宋体" w:cs="@仿宋_GB2312"/>
          <w:color w:val="auto"/>
          <w:sz w:val="24"/>
          <w:szCs w:val="20"/>
          <w:highlight w:val="none"/>
        </w:rPr>
        <w:t>，履约保证金不予退还；如果乙方</w:t>
      </w:r>
      <w:r>
        <w:rPr>
          <w:rFonts w:ascii="宋体" w:hAnsi="宋体" w:cs="@仿宋_GB2312"/>
          <w:color w:val="auto"/>
          <w:sz w:val="24"/>
          <w:szCs w:val="20"/>
          <w:highlight w:val="none"/>
        </w:rPr>
        <w:t>未能按合同</w:t>
      </w:r>
      <w:r>
        <w:rPr>
          <w:rFonts w:hint="eastAsia" w:ascii="宋体" w:hAnsi="宋体" w:cs="@仿宋_GB2312"/>
          <w:color w:val="auto"/>
          <w:sz w:val="24"/>
          <w:szCs w:val="20"/>
          <w:highlight w:val="none"/>
        </w:rPr>
        <w:t>约</w:t>
      </w:r>
      <w:r>
        <w:rPr>
          <w:rFonts w:ascii="宋体" w:hAnsi="宋体" w:cs="@仿宋_GB2312"/>
          <w:color w:val="auto"/>
          <w:sz w:val="24"/>
          <w:szCs w:val="20"/>
          <w:highlight w:val="none"/>
        </w:rPr>
        <w:t>定全面履行义务，那么甲方有权从履约保证金中取得补偿或赔偿</w:t>
      </w:r>
      <w:r>
        <w:rPr>
          <w:rFonts w:hint="eastAsia" w:ascii="宋体" w:hAnsi="宋体" w:cs="@仿宋_GB2312"/>
          <w:color w:val="auto"/>
          <w:sz w:val="24"/>
          <w:szCs w:val="20"/>
          <w:highlight w:val="none"/>
        </w:rPr>
        <w:t>，同时不影响甲方要求乙方承担合同约定的超过履约保证金的违约责任的权利。</w:t>
      </w:r>
    </w:p>
    <w:p w14:paraId="59AE5900">
      <w:pPr>
        <w:spacing w:line="360" w:lineRule="auto"/>
        <w:ind w:firstLine="437"/>
        <w:outlineLvl w:val="9"/>
        <w:rPr>
          <w:rFonts w:ascii="宋体" w:hAnsi="宋体" w:cs="@仿宋_GB2312"/>
          <w:b/>
          <w:color w:val="auto"/>
          <w:sz w:val="24"/>
          <w:szCs w:val="20"/>
          <w:highlight w:val="none"/>
        </w:rPr>
      </w:pPr>
      <w:r>
        <w:rPr>
          <w:rFonts w:hint="eastAsia" w:ascii="宋体" w:hAnsi="宋体" w:cs="@仿宋_GB2312"/>
          <w:b/>
          <w:bCs/>
          <w:color w:val="auto"/>
          <w:sz w:val="24"/>
          <w:szCs w:val="20"/>
          <w:highlight w:val="none"/>
          <w:lang w:val="zh-CN"/>
        </w:rPr>
        <w:t>2.</w:t>
      </w:r>
      <w:r>
        <w:rPr>
          <w:rFonts w:ascii="宋体" w:hAnsi="宋体" w:cs="@仿宋_GB2312"/>
          <w:b/>
          <w:bCs/>
          <w:color w:val="auto"/>
          <w:sz w:val="24"/>
          <w:szCs w:val="20"/>
          <w:highlight w:val="none"/>
          <w:lang w:val="zh-CN"/>
        </w:rPr>
        <w:t>18</w:t>
      </w:r>
      <w:r>
        <w:rPr>
          <w:rFonts w:hint="eastAsia" w:ascii="宋体" w:hAnsi="宋体" w:cs="@仿宋_GB2312"/>
          <w:b/>
          <w:bCs/>
          <w:color w:val="auto"/>
          <w:sz w:val="24"/>
          <w:szCs w:val="20"/>
          <w:highlight w:val="none"/>
          <w:lang w:val="zh-CN"/>
        </w:rPr>
        <w:t xml:space="preserve"> 合同份数</w:t>
      </w:r>
    </w:p>
    <w:p w14:paraId="74459640">
      <w:pPr>
        <w:spacing w:line="360" w:lineRule="auto"/>
        <w:ind w:firstLine="435"/>
        <w:outlineLvl w:val="9"/>
        <w:rPr>
          <w:rFonts w:ascii="宋体" w:hAnsi="宋体" w:cs="@仿宋_GB2312"/>
          <w:color w:val="auto"/>
          <w:sz w:val="24"/>
          <w:szCs w:val="20"/>
          <w:highlight w:val="none"/>
        </w:rPr>
      </w:pPr>
      <w:r>
        <w:rPr>
          <w:rFonts w:ascii="宋体" w:hAnsi="宋体" w:cs="@仿宋_GB2312"/>
          <w:color w:val="auto"/>
          <w:sz w:val="24"/>
          <w:szCs w:val="20"/>
          <w:highlight w:val="none"/>
        </w:rPr>
        <w:t>合同份数按</w:t>
      </w:r>
      <w:r>
        <w:rPr>
          <w:rFonts w:ascii="宋体" w:hAnsi="宋体" w:cs="@仿宋_GB2312"/>
          <w:b/>
          <w:i/>
          <w:color w:val="auto"/>
          <w:sz w:val="24"/>
          <w:szCs w:val="20"/>
          <w:highlight w:val="none"/>
          <w:u w:val="single"/>
        </w:rPr>
        <w:t>合同专用条款</w:t>
      </w:r>
      <w:r>
        <w:rPr>
          <w:rFonts w:ascii="宋体" w:hAnsi="宋体" w:cs="@仿宋_GB2312"/>
          <w:color w:val="auto"/>
          <w:sz w:val="24"/>
          <w:szCs w:val="20"/>
          <w:highlight w:val="none"/>
        </w:rPr>
        <w:t>规定</w:t>
      </w:r>
      <w:r>
        <w:rPr>
          <w:rFonts w:hint="eastAsia" w:ascii="宋体" w:hAnsi="宋体" w:cs="@仿宋_GB2312"/>
          <w:color w:val="auto"/>
          <w:sz w:val="24"/>
          <w:szCs w:val="20"/>
          <w:highlight w:val="none"/>
        </w:rPr>
        <w:t>，</w:t>
      </w:r>
      <w:r>
        <w:rPr>
          <w:rFonts w:ascii="宋体" w:hAnsi="宋体" w:cs="@仿宋_GB2312"/>
          <w:color w:val="auto"/>
          <w:sz w:val="24"/>
          <w:szCs w:val="20"/>
          <w:highlight w:val="none"/>
        </w:rPr>
        <w:t>每份均具有同等法律效力</w:t>
      </w:r>
      <w:r>
        <w:rPr>
          <w:rFonts w:hint="eastAsia" w:ascii="宋体" w:hAnsi="宋体" w:cs="@仿宋_GB2312"/>
          <w:color w:val="auto"/>
          <w:sz w:val="24"/>
          <w:szCs w:val="20"/>
          <w:highlight w:val="none"/>
        </w:rPr>
        <w:t>。</w:t>
      </w:r>
    </w:p>
    <w:p w14:paraId="797FCDD3">
      <w:pPr>
        <w:spacing w:line="360" w:lineRule="auto"/>
        <w:jc w:val="center"/>
        <w:outlineLvl w:val="9"/>
        <w:rPr>
          <w:rFonts w:ascii="宋体" w:hAnsi="宋体" w:cs="@仿宋_GB2312"/>
          <w:b/>
          <w:color w:val="auto"/>
          <w:sz w:val="24"/>
          <w:szCs w:val="20"/>
          <w:highlight w:val="none"/>
        </w:rPr>
      </w:pPr>
      <w:r>
        <w:rPr>
          <w:rFonts w:ascii="宋体" w:hAnsi="宋体" w:cs="@仿宋_GB2312"/>
          <w:color w:val="auto"/>
          <w:sz w:val="24"/>
          <w:szCs w:val="20"/>
          <w:highlight w:val="none"/>
        </w:rPr>
        <w:br w:type="page"/>
      </w:r>
      <w:bookmarkStart w:id="45" w:name="_Toc168040910"/>
      <w:r>
        <w:rPr>
          <w:rFonts w:hint="eastAsia" w:ascii="宋体" w:hAnsi="宋体" w:cs="@仿宋_GB2312"/>
          <w:b/>
          <w:color w:val="auto"/>
          <w:sz w:val="24"/>
          <w:szCs w:val="20"/>
          <w:highlight w:val="none"/>
        </w:rPr>
        <w:t>第三部分</w:t>
      </w:r>
      <w:r>
        <w:rPr>
          <w:rFonts w:ascii="宋体" w:hAnsi="宋体" w:cs="@仿宋_GB2312"/>
          <w:b/>
          <w:color w:val="auto"/>
          <w:sz w:val="24"/>
          <w:szCs w:val="20"/>
          <w:highlight w:val="none"/>
        </w:rPr>
        <w:t xml:space="preserve"> </w:t>
      </w:r>
      <w:r>
        <w:rPr>
          <w:rFonts w:hint="eastAsia" w:ascii="宋体" w:hAnsi="宋体" w:cs="@仿宋_GB2312"/>
          <w:b/>
          <w:color w:val="auto"/>
          <w:sz w:val="24"/>
          <w:szCs w:val="20"/>
          <w:highlight w:val="none"/>
        </w:rPr>
        <w:t>合同专用条款</w:t>
      </w:r>
      <w:bookmarkEnd w:id="45"/>
    </w:p>
    <w:p w14:paraId="5E8B0B4E">
      <w:pPr>
        <w:spacing w:line="360" w:lineRule="auto"/>
        <w:ind w:firstLine="435"/>
        <w:outlineLvl w:val="9"/>
        <w:rPr>
          <w:rFonts w:ascii="宋体" w:hAnsi="宋体" w:cs="@仿宋_GB2312"/>
          <w:color w:val="auto"/>
          <w:sz w:val="24"/>
          <w:szCs w:val="20"/>
          <w:highlight w:val="none"/>
        </w:rPr>
      </w:pPr>
      <w:r>
        <w:rPr>
          <w:rFonts w:hint="eastAsia" w:ascii="宋体" w:hAnsi="宋体" w:cs="@仿宋_GB2312"/>
          <w:color w:val="auto"/>
          <w:sz w:val="24"/>
          <w:szCs w:val="20"/>
          <w:highlight w:val="none"/>
        </w:rPr>
        <w:t>本部分</w:t>
      </w:r>
      <w:r>
        <w:rPr>
          <w:rFonts w:ascii="宋体" w:hAnsi="宋体" w:cs="@仿宋_GB2312"/>
          <w:color w:val="auto"/>
          <w:sz w:val="24"/>
          <w:szCs w:val="20"/>
          <w:highlight w:val="none"/>
        </w:rPr>
        <w:t>是对</w:t>
      </w:r>
      <w:r>
        <w:rPr>
          <w:rFonts w:hint="eastAsia" w:ascii="宋体" w:hAnsi="宋体" w:cs="@仿宋_GB2312"/>
          <w:color w:val="auto"/>
          <w:sz w:val="24"/>
          <w:szCs w:val="20"/>
          <w:highlight w:val="none"/>
        </w:rPr>
        <w:t>前两</w:t>
      </w:r>
      <w:r>
        <w:rPr>
          <w:rFonts w:ascii="宋体" w:hAnsi="宋体" w:cs="@仿宋_GB2312"/>
          <w:color w:val="auto"/>
          <w:sz w:val="24"/>
          <w:szCs w:val="20"/>
          <w:highlight w:val="none"/>
        </w:rPr>
        <w:t>部分的补充和修改</w:t>
      </w:r>
      <w:r>
        <w:rPr>
          <w:rFonts w:hint="eastAsia" w:ascii="宋体" w:hAnsi="宋体" w:cs="@仿宋_GB2312"/>
          <w:color w:val="auto"/>
          <w:sz w:val="24"/>
          <w:szCs w:val="20"/>
          <w:highlight w:val="none"/>
        </w:rPr>
        <w:t>，</w:t>
      </w:r>
      <w:r>
        <w:rPr>
          <w:rFonts w:ascii="宋体" w:hAnsi="宋体" w:cs="@仿宋_GB2312"/>
          <w:color w:val="auto"/>
          <w:sz w:val="24"/>
          <w:szCs w:val="20"/>
          <w:highlight w:val="none"/>
        </w:rPr>
        <w:t>如果</w:t>
      </w:r>
      <w:r>
        <w:rPr>
          <w:rFonts w:hint="eastAsia" w:ascii="宋体" w:hAnsi="宋体" w:cs="@仿宋_GB2312"/>
          <w:color w:val="auto"/>
          <w:sz w:val="24"/>
          <w:szCs w:val="20"/>
          <w:highlight w:val="none"/>
        </w:rPr>
        <w:t>前两</w:t>
      </w:r>
      <w:r>
        <w:rPr>
          <w:rFonts w:ascii="宋体" w:hAnsi="宋体" w:cs="@仿宋_GB2312"/>
          <w:color w:val="auto"/>
          <w:sz w:val="24"/>
          <w:szCs w:val="20"/>
          <w:highlight w:val="none"/>
        </w:rPr>
        <w:t>部分和本部分的约定不一致</w:t>
      </w:r>
      <w:r>
        <w:rPr>
          <w:rFonts w:hint="eastAsia" w:ascii="宋体" w:hAnsi="宋体" w:cs="@仿宋_GB2312"/>
          <w:color w:val="auto"/>
          <w:sz w:val="24"/>
          <w:szCs w:val="20"/>
          <w:highlight w:val="none"/>
        </w:rPr>
        <w:t>，</w:t>
      </w:r>
      <w:r>
        <w:rPr>
          <w:rFonts w:ascii="宋体" w:hAnsi="宋体" w:cs="@仿宋_GB2312"/>
          <w:color w:val="auto"/>
          <w:sz w:val="24"/>
          <w:szCs w:val="20"/>
          <w:highlight w:val="none"/>
        </w:rPr>
        <w:t>应以本部分的约定为准</w:t>
      </w:r>
      <w:r>
        <w:rPr>
          <w:rFonts w:hint="eastAsia" w:ascii="宋体" w:hAnsi="宋体" w:cs="@仿宋_GB2312"/>
          <w:color w:val="auto"/>
          <w:sz w:val="24"/>
          <w:szCs w:val="20"/>
          <w:highlight w:val="none"/>
        </w:rPr>
        <w:t>。</w:t>
      </w:r>
      <w:r>
        <w:rPr>
          <w:rFonts w:ascii="宋体" w:hAnsi="宋体" w:cs="@仿宋_GB2312"/>
          <w:color w:val="auto"/>
          <w:sz w:val="24"/>
          <w:szCs w:val="20"/>
          <w:highlight w:val="none"/>
        </w:rPr>
        <w:t>本部分的条款号应与</w:t>
      </w:r>
      <w:r>
        <w:rPr>
          <w:rFonts w:hint="eastAsia" w:ascii="宋体" w:hAnsi="宋体" w:cs="@仿宋_GB2312"/>
          <w:color w:val="auto"/>
          <w:sz w:val="24"/>
          <w:szCs w:val="20"/>
          <w:highlight w:val="none"/>
        </w:rPr>
        <w:t>前两部分</w:t>
      </w:r>
      <w:r>
        <w:rPr>
          <w:rFonts w:ascii="宋体" w:hAnsi="宋体" w:cs="@仿宋_GB2312"/>
          <w:color w:val="auto"/>
          <w:sz w:val="24"/>
          <w:szCs w:val="20"/>
          <w:highlight w:val="none"/>
        </w:rPr>
        <w:t>的条款号保持对应</w:t>
      </w:r>
      <w:r>
        <w:rPr>
          <w:rFonts w:hint="eastAsia" w:ascii="宋体" w:hAnsi="宋体" w:cs="@仿宋_GB2312"/>
          <w:color w:val="auto"/>
          <w:sz w:val="24"/>
          <w:szCs w:val="20"/>
          <w:highlight w:val="none"/>
        </w:rPr>
        <w:t>；与前两部分</w:t>
      </w:r>
      <w:r>
        <w:rPr>
          <w:rFonts w:ascii="宋体" w:hAnsi="宋体" w:cs="@仿宋_GB2312"/>
          <w:color w:val="auto"/>
          <w:sz w:val="24"/>
          <w:szCs w:val="20"/>
          <w:highlight w:val="none"/>
        </w:rPr>
        <w:t>无对应关系的内容可另行编制条款号</w:t>
      </w:r>
      <w:r>
        <w:rPr>
          <w:rFonts w:hint="eastAsia" w:ascii="宋体" w:hAnsi="宋体" w:cs="@仿宋_GB2312"/>
          <w:color w:val="auto"/>
          <w:sz w:val="24"/>
          <w:szCs w:val="20"/>
          <w:highlight w:val="none"/>
        </w:rPr>
        <w:t>。</w:t>
      </w:r>
    </w:p>
    <w:tbl>
      <w:tblPr>
        <w:tblStyle w:val="2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27EF6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noWrap w:val="0"/>
            <w:vAlign w:val="center"/>
          </w:tcPr>
          <w:p w14:paraId="77536DDE">
            <w:pPr>
              <w:jc w:val="center"/>
              <w:outlineLvl w:val="9"/>
              <w:rPr>
                <w:rFonts w:ascii="宋体" w:hAnsi="宋体" w:cs="@仿宋_GB2312"/>
                <w:b/>
                <w:color w:val="auto"/>
                <w:sz w:val="24"/>
                <w:szCs w:val="20"/>
                <w:highlight w:val="none"/>
              </w:rPr>
            </w:pPr>
            <w:r>
              <w:rPr>
                <w:rFonts w:ascii="宋体" w:hAnsi="宋体" w:cs="@仿宋_GB2312"/>
                <w:b/>
                <w:color w:val="auto"/>
                <w:sz w:val="24"/>
                <w:szCs w:val="20"/>
                <w:highlight w:val="none"/>
              </w:rPr>
              <w:t>条款号</w:t>
            </w:r>
          </w:p>
        </w:tc>
        <w:tc>
          <w:tcPr>
            <w:tcW w:w="4525" w:type="pct"/>
            <w:noWrap w:val="0"/>
            <w:vAlign w:val="center"/>
          </w:tcPr>
          <w:p w14:paraId="4F1D106F">
            <w:pPr>
              <w:jc w:val="center"/>
              <w:outlineLvl w:val="9"/>
              <w:rPr>
                <w:rFonts w:ascii="宋体" w:hAnsi="宋体" w:cs="@仿宋_GB2312"/>
                <w:b/>
                <w:color w:val="auto"/>
                <w:sz w:val="24"/>
                <w:szCs w:val="20"/>
                <w:highlight w:val="none"/>
              </w:rPr>
            </w:pPr>
            <w:r>
              <w:rPr>
                <w:rFonts w:ascii="宋体" w:hAnsi="宋体" w:cs="@仿宋_GB2312"/>
                <w:b/>
                <w:color w:val="auto"/>
                <w:sz w:val="24"/>
                <w:szCs w:val="20"/>
                <w:highlight w:val="none"/>
              </w:rPr>
              <w:t>约定内容</w:t>
            </w:r>
          </w:p>
        </w:tc>
      </w:tr>
      <w:tr w14:paraId="13A7A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noWrap w:val="0"/>
            <w:vAlign w:val="center"/>
          </w:tcPr>
          <w:p w14:paraId="17392898">
            <w:pPr>
              <w:spacing w:line="560" w:lineRule="exact"/>
              <w:outlineLvl w:val="9"/>
              <w:rPr>
                <w:rFonts w:ascii="宋体" w:hAnsi="宋体" w:cs="@仿宋_GB2312"/>
                <w:color w:val="auto"/>
                <w:sz w:val="24"/>
                <w:szCs w:val="20"/>
                <w:highlight w:val="none"/>
              </w:rPr>
            </w:pPr>
          </w:p>
        </w:tc>
        <w:tc>
          <w:tcPr>
            <w:tcW w:w="4525" w:type="pct"/>
            <w:noWrap w:val="0"/>
            <w:vAlign w:val="center"/>
          </w:tcPr>
          <w:p w14:paraId="32B32000">
            <w:pPr>
              <w:spacing w:line="560" w:lineRule="exact"/>
              <w:outlineLvl w:val="9"/>
              <w:rPr>
                <w:rFonts w:ascii="宋体" w:hAnsi="宋体" w:cs="@仿宋_GB2312"/>
                <w:color w:val="auto"/>
                <w:sz w:val="24"/>
                <w:szCs w:val="20"/>
                <w:highlight w:val="none"/>
              </w:rPr>
            </w:pPr>
          </w:p>
        </w:tc>
      </w:tr>
      <w:tr w14:paraId="099C3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center"/>
          </w:tcPr>
          <w:p w14:paraId="3A0077C6">
            <w:pPr>
              <w:spacing w:line="560" w:lineRule="exact"/>
              <w:outlineLvl w:val="9"/>
              <w:rPr>
                <w:rFonts w:ascii="宋体" w:hAnsi="宋体" w:cs="@仿宋_GB2312"/>
                <w:color w:val="auto"/>
                <w:sz w:val="24"/>
                <w:szCs w:val="20"/>
                <w:highlight w:val="none"/>
              </w:rPr>
            </w:pPr>
          </w:p>
        </w:tc>
        <w:tc>
          <w:tcPr>
            <w:tcW w:w="4525" w:type="pct"/>
            <w:noWrap w:val="0"/>
            <w:vAlign w:val="center"/>
          </w:tcPr>
          <w:p w14:paraId="50065BC1">
            <w:pPr>
              <w:spacing w:line="560" w:lineRule="exact"/>
              <w:outlineLvl w:val="9"/>
              <w:rPr>
                <w:rFonts w:ascii="宋体" w:hAnsi="宋体" w:cs="@仿宋_GB2312"/>
                <w:color w:val="auto"/>
                <w:sz w:val="24"/>
                <w:szCs w:val="20"/>
                <w:highlight w:val="none"/>
              </w:rPr>
            </w:pPr>
          </w:p>
        </w:tc>
      </w:tr>
      <w:tr w14:paraId="5C561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center"/>
          </w:tcPr>
          <w:p w14:paraId="71DCF3CB">
            <w:pPr>
              <w:spacing w:line="560" w:lineRule="exact"/>
              <w:outlineLvl w:val="9"/>
              <w:rPr>
                <w:rFonts w:ascii="宋体" w:hAnsi="宋体" w:cs="@仿宋_GB2312"/>
                <w:color w:val="auto"/>
                <w:sz w:val="24"/>
                <w:szCs w:val="20"/>
                <w:highlight w:val="none"/>
              </w:rPr>
            </w:pPr>
          </w:p>
        </w:tc>
        <w:tc>
          <w:tcPr>
            <w:tcW w:w="4525" w:type="pct"/>
            <w:noWrap w:val="0"/>
            <w:vAlign w:val="center"/>
          </w:tcPr>
          <w:p w14:paraId="0A5B8B39">
            <w:pPr>
              <w:spacing w:line="560" w:lineRule="exact"/>
              <w:outlineLvl w:val="9"/>
              <w:rPr>
                <w:rFonts w:ascii="宋体" w:hAnsi="宋体" w:cs="@仿宋_GB2312"/>
                <w:color w:val="auto"/>
                <w:sz w:val="24"/>
                <w:szCs w:val="20"/>
                <w:highlight w:val="none"/>
              </w:rPr>
            </w:pPr>
          </w:p>
        </w:tc>
      </w:tr>
      <w:tr w14:paraId="2A1FB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center"/>
          </w:tcPr>
          <w:p w14:paraId="2197E1B5">
            <w:pPr>
              <w:spacing w:line="560" w:lineRule="exact"/>
              <w:outlineLvl w:val="9"/>
              <w:rPr>
                <w:rFonts w:ascii="宋体" w:hAnsi="宋体" w:cs="@仿宋_GB2312"/>
                <w:color w:val="auto"/>
                <w:sz w:val="24"/>
                <w:szCs w:val="20"/>
                <w:highlight w:val="none"/>
              </w:rPr>
            </w:pPr>
          </w:p>
        </w:tc>
        <w:tc>
          <w:tcPr>
            <w:tcW w:w="4525" w:type="pct"/>
            <w:noWrap w:val="0"/>
            <w:vAlign w:val="center"/>
          </w:tcPr>
          <w:p w14:paraId="0EDFED20">
            <w:pPr>
              <w:spacing w:line="560" w:lineRule="exact"/>
              <w:outlineLvl w:val="9"/>
              <w:rPr>
                <w:rFonts w:ascii="宋体" w:hAnsi="宋体" w:cs="@仿宋_GB2312"/>
                <w:color w:val="auto"/>
                <w:sz w:val="24"/>
                <w:szCs w:val="20"/>
                <w:highlight w:val="none"/>
              </w:rPr>
            </w:pPr>
          </w:p>
        </w:tc>
      </w:tr>
      <w:tr w14:paraId="4AF56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7C5A6263">
            <w:pPr>
              <w:spacing w:line="560" w:lineRule="exact"/>
              <w:outlineLvl w:val="9"/>
              <w:rPr>
                <w:rFonts w:ascii="宋体" w:hAnsi="宋体" w:cs="@仿宋_GB2312"/>
                <w:color w:val="auto"/>
                <w:sz w:val="24"/>
                <w:szCs w:val="20"/>
                <w:highlight w:val="none"/>
              </w:rPr>
            </w:pPr>
          </w:p>
        </w:tc>
        <w:tc>
          <w:tcPr>
            <w:tcW w:w="4525" w:type="pct"/>
            <w:noWrap w:val="0"/>
            <w:vAlign w:val="center"/>
          </w:tcPr>
          <w:p w14:paraId="727AD7E1">
            <w:pPr>
              <w:spacing w:line="560" w:lineRule="exact"/>
              <w:outlineLvl w:val="9"/>
              <w:rPr>
                <w:rFonts w:ascii="宋体" w:hAnsi="宋体" w:cs="@仿宋_GB2312"/>
                <w:color w:val="auto"/>
                <w:sz w:val="24"/>
                <w:szCs w:val="20"/>
                <w:highlight w:val="none"/>
                <w:u w:val="single"/>
              </w:rPr>
            </w:pPr>
          </w:p>
        </w:tc>
      </w:tr>
      <w:tr w14:paraId="2B2A5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45B0DE82">
            <w:pPr>
              <w:spacing w:line="560" w:lineRule="exact"/>
              <w:outlineLvl w:val="9"/>
              <w:rPr>
                <w:rFonts w:ascii="宋体" w:hAnsi="宋体" w:cs="@仿宋_GB2312"/>
                <w:color w:val="auto"/>
                <w:sz w:val="24"/>
                <w:szCs w:val="20"/>
                <w:highlight w:val="none"/>
              </w:rPr>
            </w:pPr>
          </w:p>
        </w:tc>
        <w:tc>
          <w:tcPr>
            <w:tcW w:w="4525" w:type="pct"/>
            <w:noWrap w:val="0"/>
            <w:vAlign w:val="center"/>
          </w:tcPr>
          <w:p w14:paraId="78DB97B2">
            <w:pPr>
              <w:spacing w:line="560" w:lineRule="exact"/>
              <w:outlineLvl w:val="9"/>
              <w:rPr>
                <w:rFonts w:ascii="宋体" w:hAnsi="宋体" w:cs="@仿宋_GB2312"/>
                <w:color w:val="auto"/>
                <w:sz w:val="24"/>
                <w:szCs w:val="20"/>
                <w:highlight w:val="none"/>
              </w:rPr>
            </w:pPr>
          </w:p>
        </w:tc>
      </w:tr>
      <w:tr w14:paraId="304762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center"/>
          </w:tcPr>
          <w:p w14:paraId="2F1C9DE0">
            <w:pPr>
              <w:spacing w:line="560" w:lineRule="exact"/>
              <w:outlineLvl w:val="9"/>
              <w:rPr>
                <w:rFonts w:ascii="宋体" w:hAnsi="宋体" w:cs="@仿宋_GB2312"/>
                <w:color w:val="auto"/>
                <w:sz w:val="24"/>
                <w:szCs w:val="20"/>
                <w:highlight w:val="none"/>
              </w:rPr>
            </w:pPr>
          </w:p>
        </w:tc>
        <w:tc>
          <w:tcPr>
            <w:tcW w:w="4525" w:type="pct"/>
            <w:noWrap w:val="0"/>
            <w:vAlign w:val="center"/>
          </w:tcPr>
          <w:p w14:paraId="77DAE69F">
            <w:pPr>
              <w:spacing w:line="560" w:lineRule="exact"/>
              <w:outlineLvl w:val="9"/>
              <w:rPr>
                <w:rFonts w:ascii="宋体" w:hAnsi="宋体" w:cs="@仿宋_GB2312"/>
                <w:color w:val="auto"/>
                <w:sz w:val="24"/>
                <w:szCs w:val="20"/>
                <w:highlight w:val="none"/>
                <w:u w:val="single"/>
              </w:rPr>
            </w:pPr>
          </w:p>
        </w:tc>
      </w:tr>
      <w:tr w14:paraId="3A13E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7A4D892D">
            <w:pPr>
              <w:spacing w:line="560" w:lineRule="exact"/>
              <w:outlineLvl w:val="9"/>
              <w:rPr>
                <w:rFonts w:ascii="宋体" w:hAnsi="宋体" w:cs="@仿宋_GB2312"/>
                <w:color w:val="auto"/>
                <w:sz w:val="24"/>
                <w:szCs w:val="20"/>
                <w:highlight w:val="none"/>
              </w:rPr>
            </w:pPr>
          </w:p>
        </w:tc>
        <w:tc>
          <w:tcPr>
            <w:tcW w:w="4525" w:type="pct"/>
            <w:noWrap w:val="0"/>
            <w:vAlign w:val="center"/>
          </w:tcPr>
          <w:p w14:paraId="7B8EE6DA">
            <w:pPr>
              <w:spacing w:line="560" w:lineRule="exact"/>
              <w:outlineLvl w:val="9"/>
              <w:rPr>
                <w:rFonts w:ascii="宋体" w:hAnsi="宋体" w:cs="@仿宋_GB2312"/>
                <w:color w:val="auto"/>
                <w:sz w:val="24"/>
                <w:szCs w:val="20"/>
                <w:highlight w:val="none"/>
              </w:rPr>
            </w:pPr>
          </w:p>
        </w:tc>
      </w:tr>
      <w:tr w14:paraId="00178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21D7B768">
            <w:pPr>
              <w:spacing w:line="560" w:lineRule="exact"/>
              <w:outlineLvl w:val="9"/>
              <w:rPr>
                <w:rFonts w:ascii="宋体" w:hAnsi="宋体" w:cs="@仿宋_GB2312"/>
                <w:color w:val="auto"/>
                <w:sz w:val="24"/>
                <w:szCs w:val="20"/>
                <w:highlight w:val="none"/>
              </w:rPr>
            </w:pPr>
          </w:p>
        </w:tc>
        <w:tc>
          <w:tcPr>
            <w:tcW w:w="4525" w:type="pct"/>
            <w:noWrap w:val="0"/>
            <w:vAlign w:val="center"/>
          </w:tcPr>
          <w:p w14:paraId="4235CA0B">
            <w:pPr>
              <w:spacing w:line="560" w:lineRule="exact"/>
              <w:outlineLvl w:val="9"/>
              <w:rPr>
                <w:rFonts w:ascii="宋体" w:hAnsi="宋体" w:cs="@仿宋_GB2312"/>
                <w:color w:val="auto"/>
                <w:sz w:val="24"/>
                <w:szCs w:val="20"/>
                <w:highlight w:val="none"/>
              </w:rPr>
            </w:pPr>
          </w:p>
        </w:tc>
      </w:tr>
      <w:tr w14:paraId="6F367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4BAA385B">
            <w:pPr>
              <w:spacing w:line="560" w:lineRule="exact"/>
              <w:outlineLvl w:val="9"/>
              <w:rPr>
                <w:rFonts w:ascii="宋体" w:hAnsi="宋体" w:cs="@仿宋_GB2312"/>
                <w:color w:val="auto"/>
                <w:sz w:val="24"/>
                <w:szCs w:val="20"/>
                <w:highlight w:val="none"/>
              </w:rPr>
            </w:pPr>
          </w:p>
        </w:tc>
        <w:tc>
          <w:tcPr>
            <w:tcW w:w="4525" w:type="pct"/>
            <w:noWrap w:val="0"/>
            <w:vAlign w:val="center"/>
          </w:tcPr>
          <w:p w14:paraId="0F88BD0C">
            <w:pPr>
              <w:spacing w:line="560" w:lineRule="exact"/>
              <w:outlineLvl w:val="9"/>
              <w:rPr>
                <w:rFonts w:ascii="宋体" w:hAnsi="宋体" w:cs="@仿宋_GB2312"/>
                <w:color w:val="auto"/>
                <w:sz w:val="24"/>
                <w:szCs w:val="20"/>
                <w:highlight w:val="none"/>
              </w:rPr>
            </w:pPr>
          </w:p>
        </w:tc>
      </w:tr>
      <w:tr w14:paraId="30401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noWrap w:val="0"/>
            <w:vAlign w:val="center"/>
          </w:tcPr>
          <w:p w14:paraId="3DAFF6A0">
            <w:pPr>
              <w:spacing w:line="560" w:lineRule="exact"/>
              <w:outlineLvl w:val="9"/>
              <w:rPr>
                <w:rFonts w:ascii="宋体" w:hAnsi="宋体" w:cs="@仿宋_GB2312"/>
                <w:color w:val="auto"/>
                <w:sz w:val="24"/>
                <w:szCs w:val="20"/>
                <w:highlight w:val="none"/>
              </w:rPr>
            </w:pPr>
          </w:p>
        </w:tc>
        <w:tc>
          <w:tcPr>
            <w:tcW w:w="4525" w:type="pct"/>
            <w:tcBorders>
              <w:top w:val="single" w:color="auto" w:sz="6" w:space="0"/>
              <w:left w:val="single" w:color="auto" w:sz="6" w:space="0"/>
              <w:bottom w:val="single" w:color="auto" w:sz="6" w:space="0"/>
              <w:right w:val="single" w:color="auto" w:sz="6" w:space="0"/>
            </w:tcBorders>
            <w:noWrap w:val="0"/>
            <w:vAlign w:val="center"/>
          </w:tcPr>
          <w:p w14:paraId="4A10EACD">
            <w:pPr>
              <w:spacing w:line="560" w:lineRule="exact"/>
              <w:outlineLvl w:val="9"/>
              <w:rPr>
                <w:rFonts w:ascii="宋体" w:hAnsi="宋体" w:cs="@仿宋_GB2312"/>
                <w:color w:val="auto"/>
                <w:sz w:val="24"/>
                <w:szCs w:val="20"/>
                <w:highlight w:val="none"/>
              </w:rPr>
            </w:pPr>
          </w:p>
        </w:tc>
      </w:tr>
      <w:tr w14:paraId="0FA9E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noWrap w:val="0"/>
            <w:vAlign w:val="center"/>
          </w:tcPr>
          <w:p w14:paraId="2727C077">
            <w:pPr>
              <w:spacing w:line="560" w:lineRule="exact"/>
              <w:outlineLvl w:val="9"/>
              <w:rPr>
                <w:rFonts w:ascii="宋体" w:hAnsi="宋体" w:cs="@仿宋_GB2312"/>
                <w:color w:val="auto"/>
                <w:sz w:val="24"/>
                <w:szCs w:val="20"/>
                <w:highlight w:val="none"/>
              </w:rPr>
            </w:pPr>
          </w:p>
        </w:tc>
        <w:tc>
          <w:tcPr>
            <w:tcW w:w="4525" w:type="pct"/>
            <w:tcBorders>
              <w:top w:val="single" w:color="auto" w:sz="6" w:space="0"/>
              <w:left w:val="single" w:color="auto" w:sz="6" w:space="0"/>
              <w:bottom w:val="single" w:color="auto" w:sz="6" w:space="0"/>
              <w:right w:val="single" w:color="auto" w:sz="6" w:space="0"/>
            </w:tcBorders>
            <w:noWrap w:val="0"/>
            <w:vAlign w:val="center"/>
          </w:tcPr>
          <w:p w14:paraId="4828C105">
            <w:pPr>
              <w:spacing w:line="560" w:lineRule="exact"/>
              <w:outlineLvl w:val="9"/>
              <w:rPr>
                <w:rFonts w:ascii="宋体" w:hAnsi="宋体" w:cs="@仿宋_GB2312"/>
                <w:color w:val="auto"/>
                <w:sz w:val="24"/>
                <w:szCs w:val="20"/>
                <w:highlight w:val="none"/>
              </w:rPr>
            </w:pPr>
          </w:p>
        </w:tc>
      </w:tr>
    </w:tbl>
    <w:p w14:paraId="5C2C363B">
      <w:pPr>
        <w:widowControl/>
        <w:jc w:val="left"/>
        <w:outlineLvl w:val="9"/>
        <w:rPr>
          <w:b/>
          <w:color w:val="auto"/>
          <w:sz w:val="24"/>
          <w:highlight w:val="none"/>
        </w:rPr>
      </w:pPr>
      <w:r>
        <w:rPr>
          <w:rFonts w:ascii="宋体" w:hAnsi="宋体" w:cs="@仿宋_GB2312"/>
          <w:color w:val="auto"/>
          <w:sz w:val="24"/>
          <w:szCs w:val="20"/>
          <w:highlight w:val="none"/>
        </w:rPr>
        <w:br w:type="page"/>
      </w:r>
      <w:bookmarkEnd w:id="36"/>
      <w:bookmarkEnd w:id="37"/>
      <w:bookmarkEnd w:id="38"/>
    </w:p>
    <w:p w14:paraId="6E5B3921">
      <w:pPr>
        <w:spacing w:line="360" w:lineRule="auto"/>
        <w:jc w:val="center"/>
        <w:outlineLvl w:val="0"/>
        <w:rPr>
          <w:rFonts w:hint="eastAsia" w:ascii="宋体"/>
          <w:b/>
          <w:color w:val="auto"/>
          <w:sz w:val="28"/>
          <w:highlight w:val="none"/>
        </w:rPr>
      </w:pPr>
      <w:bookmarkStart w:id="46" w:name="_Toc18415"/>
      <w:r>
        <w:rPr>
          <w:rFonts w:hint="eastAsia" w:ascii="宋体"/>
          <w:b/>
          <w:color w:val="auto"/>
          <w:sz w:val="28"/>
          <w:highlight w:val="none"/>
        </w:rPr>
        <w:t>第六章  响应文件格式</w:t>
      </w:r>
      <w:bookmarkEnd w:id="46"/>
    </w:p>
    <w:p w14:paraId="157CC7C6">
      <w:pPr>
        <w:jc w:val="center"/>
        <w:rPr>
          <w:rFonts w:hint="eastAsia"/>
          <w:b/>
          <w:bCs/>
          <w:color w:val="auto"/>
          <w:sz w:val="28"/>
          <w:szCs w:val="32"/>
          <w:highlight w:val="none"/>
        </w:rPr>
      </w:pPr>
    </w:p>
    <w:p w14:paraId="5FC31C2C">
      <w:pPr>
        <w:jc w:val="center"/>
        <w:rPr>
          <w:rFonts w:hint="eastAsia"/>
          <w:b/>
          <w:bCs/>
          <w:color w:val="auto"/>
          <w:sz w:val="36"/>
          <w:szCs w:val="40"/>
          <w:highlight w:val="none"/>
          <w:lang w:val="en-US" w:eastAsia="zh-CN"/>
        </w:rPr>
      </w:pPr>
      <w:r>
        <w:rPr>
          <w:rFonts w:hint="eastAsia"/>
          <w:b/>
          <w:bCs/>
          <w:color w:val="auto"/>
          <w:sz w:val="36"/>
          <w:szCs w:val="40"/>
          <w:highlight w:val="none"/>
          <w:lang w:eastAsia="zh-CN"/>
        </w:rPr>
        <w:t>安徽环境新安江生态科技有限公司劳务外包服务项目（二次）</w:t>
      </w:r>
      <w:r>
        <w:rPr>
          <w:rFonts w:hint="eastAsia"/>
          <w:b/>
          <w:bCs/>
          <w:color w:val="auto"/>
          <w:sz w:val="36"/>
          <w:szCs w:val="40"/>
          <w:highlight w:val="none"/>
          <w:lang w:val="en-US" w:eastAsia="zh-CN"/>
        </w:rPr>
        <w:t xml:space="preserve"> </w:t>
      </w:r>
    </w:p>
    <w:p w14:paraId="09DC7AD4">
      <w:pPr>
        <w:jc w:val="center"/>
        <w:rPr>
          <w:b/>
          <w:bCs/>
          <w:color w:val="auto"/>
          <w:sz w:val="72"/>
          <w:szCs w:val="72"/>
          <w:highlight w:val="none"/>
        </w:rPr>
      </w:pPr>
      <w:r>
        <w:rPr>
          <w:rFonts w:hint="eastAsia"/>
          <w:b/>
          <w:bCs/>
          <w:color w:val="auto"/>
          <w:sz w:val="72"/>
          <w:szCs w:val="72"/>
          <w:highlight w:val="none"/>
        </w:rPr>
        <w:t>响</w:t>
      </w:r>
    </w:p>
    <w:p w14:paraId="442DB29B">
      <w:pPr>
        <w:jc w:val="center"/>
        <w:rPr>
          <w:b/>
          <w:bCs/>
          <w:color w:val="auto"/>
          <w:sz w:val="72"/>
          <w:szCs w:val="72"/>
          <w:highlight w:val="none"/>
        </w:rPr>
      </w:pPr>
    </w:p>
    <w:p w14:paraId="46C41E48">
      <w:pPr>
        <w:jc w:val="center"/>
        <w:rPr>
          <w:b/>
          <w:bCs/>
          <w:color w:val="auto"/>
          <w:sz w:val="72"/>
          <w:szCs w:val="72"/>
          <w:highlight w:val="none"/>
        </w:rPr>
      </w:pPr>
      <w:r>
        <w:rPr>
          <w:rFonts w:hint="eastAsia"/>
          <w:b/>
          <w:bCs/>
          <w:color w:val="auto"/>
          <w:sz w:val="72"/>
          <w:szCs w:val="72"/>
          <w:highlight w:val="none"/>
        </w:rPr>
        <w:t>应</w:t>
      </w:r>
    </w:p>
    <w:p w14:paraId="5B59E48A">
      <w:pPr>
        <w:jc w:val="center"/>
        <w:rPr>
          <w:b/>
          <w:bCs/>
          <w:color w:val="auto"/>
          <w:sz w:val="72"/>
          <w:szCs w:val="72"/>
          <w:highlight w:val="none"/>
        </w:rPr>
      </w:pPr>
    </w:p>
    <w:p w14:paraId="6D9C1397">
      <w:pPr>
        <w:jc w:val="center"/>
        <w:rPr>
          <w:b/>
          <w:bCs/>
          <w:color w:val="auto"/>
          <w:sz w:val="72"/>
          <w:szCs w:val="72"/>
          <w:highlight w:val="none"/>
        </w:rPr>
      </w:pPr>
      <w:r>
        <w:rPr>
          <w:rFonts w:hint="eastAsia"/>
          <w:b/>
          <w:bCs/>
          <w:color w:val="auto"/>
          <w:sz w:val="72"/>
          <w:szCs w:val="72"/>
          <w:highlight w:val="none"/>
        </w:rPr>
        <w:t>文</w:t>
      </w:r>
    </w:p>
    <w:p w14:paraId="46A359B7">
      <w:pPr>
        <w:jc w:val="center"/>
        <w:rPr>
          <w:b/>
          <w:bCs/>
          <w:color w:val="auto"/>
          <w:sz w:val="72"/>
          <w:szCs w:val="72"/>
          <w:highlight w:val="none"/>
        </w:rPr>
      </w:pPr>
    </w:p>
    <w:p w14:paraId="76EAA9B3">
      <w:pPr>
        <w:jc w:val="center"/>
        <w:rPr>
          <w:b/>
          <w:bCs/>
          <w:color w:val="auto"/>
          <w:sz w:val="72"/>
          <w:szCs w:val="72"/>
          <w:highlight w:val="none"/>
        </w:rPr>
      </w:pPr>
      <w:r>
        <w:rPr>
          <w:rFonts w:hint="eastAsia"/>
          <w:b/>
          <w:bCs/>
          <w:color w:val="auto"/>
          <w:sz w:val="72"/>
          <w:szCs w:val="72"/>
          <w:highlight w:val="none"/>
        </w:rPr>
        <w:t>件</w:t>
      </w:r>
    </w:p>
    <w:p w14:paraId="0EB05A45">
      <w:pPr>
        <w:spacing w:after="156" w:line="500" w:lineRule="exact"/>
        <w:jc w:val="center"/>
        <w:rPr>
          <w:rFonts w:hint="eastAsia" w:ascii="宋体"/>
          <w:b/>
          <w:color w:val="auto"/>
          <w:sz w:val="72"/>
          <w:highlight w:val="none"/>
        </w:rPr>
      </w:pPr>
    </w:p>
    <w:p w14:paraId="2068ADC7">
      <w:pPr>
        <w:spacing w:after="156" w:line="500" w:lineRule="exact"/>
        <w:jc w:val="center"/>
        <w:rPr>
          <w:rFonts w:hint="eastAsia" w:ascii="宋体"/>
          <w:b/>
          <w:color w:val="auto"/>
          <w:sz w:val="72"/>
          <w:highlight w:val="none"/>
        </w:rPr>
      </w:pPr>
    </w:p>
    <w:p w14:paraId="2E3CE054">
      <w:pPr>
        <w:spacing w:after="156" w:line="500" w:lineRule="exact"/>
        <w:ind w:firstLine="2522" w:firstLineChars="785"/>
        <w:rPr>
          <w:rFonts w:hint="eastAsia" w:ascii="宋体"/>
          <w:b/>
          <w:color w:val="auto"/>
          <w:sz w:val="32"/>
          <w:highlight w:val="none"/>
          <w:u w:val="single"/>
        </w:rPr>
      </w:pPr>
      <w:r>
        <w:rPr>
          <w:rFonts w:hint="eastAsia" w:ascii="宋体"/>
          <w:b/>
          <w:color w:val="auto"/>
          <w:sz w:val="32"/>
          <w:highlight w:val="none"/>
        </w:rPr>
        <w:t>供应商：</w:t>
      </w:r>
      <w:r>
        <w:rPr>
          <w:rFonts w:hint="eastAsia" w:ascii="宋体"/>
          <w:b/>
          <w:color w:val="auto"/>
          <w:sz w:val="32"/>
          <w:highlight w:val="none"/>
          <w:u w:val="single"/>
        </w:rPr>
        <w:t xml:space="preserve">               </w:t>
      </w:r>
    </w:p>
    <w:p w14:paraId="2192EF16">
      <w:pPr>
        <w:jc w:val="center"/>
        <w:rPr>
          <w:rFonts w:hint="eastAsia" w:ascii="宋体"/>
          <w:b/>
          <w:color w:val="auto"/>
          <w:sz w:val="32"/>
          <w:highlight w:val="none"/>
        </w:rPr>
      </w:pPr>
      <w:r>
        <w:rPr>
          <w:rFonts w:hint="eastAsia" w:ascii="宋体"/>
          <w:b/>
          <w:color w:val="auto"/>
          <w:sz w:val="32"/>
          <w:highlight w:val="none"/>
          <w:u w:val="single"/>
        </w:rPr>
        <w:t xml:space="preserve">    </w:t>
      </w:r>
      <w:r>
        <w:rPr>
          <w:rFonts w:hint="eastAsia" w:ascii="宋体"/>
          <w:b/>
          <w:color w:val="auto"/>
          <w:sz w:val="32"/>
          <w:highlight w:val="none"/>
        </w:rPr>
        <w:t>年</w:t>
      </w:r>
      <w:r>
        <w:rPr>
          <w:rFonts w:hint="eastAsia" w:ascii="宋体"/>
          <w:b/>
          <w:color w:val="auto"/>
          <w:sz w:val="32"/>
          <w:highlight w:val="none"/>
          <w:u w:val="single"/>
        </w:rPr>
        <w:t xml:space="preserve">   </w:t>
      </w:r>
      <w:r>
        <w:rPr>
          <w:rFonts w:hint="eastAsia" w:ascii="宋体"/>
          <w:b/>
          <w:color w:val="auto"/>
          <w:sz w:val="32"/>
          <w:highlight w:val="none"/>
        </w:rPr>
        <w:t>月</w:t>
      </w:r>
      <w:r>
        <w:rPr>
          <w:rFonts w:hint="eastAsia" w:ascii="宋体"/>
          <w:b/>
          <w:color w:val="auto"/>
          <w:sz w:val="32"/>
          <w:highlight w:val="none"/>
          <w:u w:val="single"/>
        </w:rPr>
        <w:t xml:space="preserve">   </w:t>
      </w:r>
      <w:r>
        <w:rPr>
          <w:rFonts w:hint="eastAsia" w:ascii="宋体"/>
          <w:b/>
          <w:color w:val="auto"/>
          <w:sz w:val="32"/>
          <w:highlight w:val="none"/>
        </w:rPr>
        <w:t>日</w:t>
      </w:r>
    </w:p>
    <w:p w14:paraId="6F140AC9">
      <w:pPr>
        <w:pageBreakBefore w:val="0"/>
        <w:widowControl/>
        <w:kinsoku/>
        <w:wordWrap/>
        <w:overflowPunct/>
        <w:bidi w:val="0"/>
        <w:jc w:val="center"/>
        <w:textAlignment w:val="auto"/>
        <w:outlineLvl w:val="9"/>
        <w:rPr>
          <w:rFonts w:hint="eastAsia" w:ascii="宋体" w:eastAsia="宋体"/>
          <w:b/>
          <w:color w:val="auto"/>
          <w:sz w:val="24"/>
          <w:highlight w:val="none"/>
          <w:lang w:eastAsia="zh-CN"/>
        </w:rPr>
      </w:pPr>
      <w:r>
        <w:rPr>
          <w:rFonts w:hint="eastAsia" w:ascii="宋体"/>
          <w:b/>
          <w:color w:val="auto"/>
          <w:sz w:val="28"/>
          <w:highlight w:val="none"/>
        </w:rPr>
        <w:br w:type="page"/>
      </w:r>
      <w:bookmarkStart w:id="47" w:name="_Toc461053086"/>
      <w:bookmarkStart w:id="48" w:name="_Toc461056631"/>
      <w:bookmarkStart w:id="49" w:name="_Toc520983587"/>
      <w:r>
        <w:rPr>
          <w:rFonts w:hint="eastAsia" w:ascii="宋体"/>
          <w:b/>
          <w:color w:val="auto"/>
          <w:sz w:val="24"/>
          <w:highlight w:val="none"/>
        </w:rPr>
        <w:t>一</w:t>
      </w:r>
      <w:bookmarkEnd w:id="47"/>
      <w:bookmarkEnd w:id="48"/>
      <w:r>
        <w:rPr>
          <w:rFonts w:hint="eastAsia" w:ascii="宋体"/>
          <w:b/>
          <w:color w:val="auto"/>
          <w:sz w:val="24"/>
          <w:highlight w:val="none"/>
        </w:rPr>
        <w:t>、报价表格式</w:t>
      </w:r>
      <w:bookmarkEnd w:id="49"/>
      <w:bookmarkStart w:id="50" w:name="_Toc520983591"/>
    </w:p>
    <w:p w14:paraId="240A003A">
      <w:pPr>
        <w:pageBreakBefore w:val="0"/>
        <w:kinsoku/>
        <w:wordWrap/>
        <w:overflowPunct/>
        <w:bidi w:val="0"/>
        <w:snapToGrid w:val="0"/>
        <w:spacing w:after="156" w:line="360" w:lineRule="auto"/>
        <w:jc w:val="left"/>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1.报价表</w:t>
      </w:r>
    </w:p>
    <w:p w14:paraId="2CE76136">
      <w:pPr>
        <w:pageBreakBefore w:val="0"/>
        <w:kinsoku/>
        <w:wordWrap/>
        <w:overflowPunct/>
        <w:bidi w:val="0"/>
        <w:snapToGrid w:val="0"/>
        <w:spacing w:line="360" w:lineRule="auto"/>
        <w:jc w:val="left"/>
        <w:textAlignment w:val="auto"/>
        <w:outlineLvl w:val="9"/>
        <w:rPr>
          <w:rFonts w:hint="eastAsia" w:ascii="宋体" w:cs="宋体"/>
          <w:b/>
          <w:color w:val="auto"/>
          <w:sz w:val="24"/>
          <w:szCs w:val="24"/>
          <w:highlight w:val="none"/>
          <w:u w:val="single"/>
          <w:lang w:eastAsia="zh-CN"/>
        </w:rPr>
      </w:pPr>
      <w:r>
        <w:rPr>
          <w:rFonts w:hint="eastAsia" w:ascii="宋体" w:cs="宋体"/>
          <w:b/>
          <w:color w:val="auto"/>
          <w:sz w:val="24"/>
          <w:szCs w:val="24"/>
          <w:highlight w:val="none"/>
        </w:rPr>
        <w:t>项目名称：</w:t>
      </w:r>
      <w:r>
        <w:rPr>
          <w:rFonts w:hint="eastAsia" w:ascii="宋体" w:cs="宋体"/>
          <w:b/>
          <w:color w:val="auto"/>
          <w:sz w:val="24"/>
          <w:szCs w:val="24"/>
          <w:highlight w:val="none"/>
          <w:u w:val="single"/>
          <w:lang w:eastAsia="zh-CN"/>
        </w:rPr>
        <w:t>安徽环境新安江生态科技有限公司劳务外包服务项目（二次）</w:t>
      </w:r>
    </w:p>
    <w:p w14:paraId="0B65A4E3">
      <w:pPr>
        <w:pageBreakBefore w:val="0"/>
        <w:kinsoku/>
        <w:wordWrap/>
        <w:overflowPunct/>
        <w:bidi w:val="0"/>
        <w:snapToGrid w:val="0"/>
        <w:spacing w:after="156" w:line="360" w:lineRule="auto"/>
        <w:jc w:val="left"/>
        <w:textAlignment w:val="auto"/>
        <w:outlineLvl w:val="9"/>
        <w:rPr>
          <w:rFonts w:hint="eastAsia" w:ascii="宋体" w:eastAsia="宋体" w:cs="宋体"/>
          <w:b/>
          <w:bCs/>
          <w:color w:val="auto"/>
          <w:sz w:val="24"/>
          <w:szCs w:val="24"/>
          <w:highlight w:val="none"/>
          <w:u w:val="single"/>
          <w:lang w:eastAsia="zh-CN"/>
        </w:rPr>
      </w:pPr>
      <w:r>
        <w:rPr>
          <w:rFonts w:hint="eastAsia" w:ascii="宋体" w:cs="宋体"/>
          <w:b/>
          <w:color w:val="auto"/>
          <w:sz w:val="24"/>
          <w:szCs w:val="24"/>
          <w:highlight w:val="none"/>
        </w:rPr>
        <w:t>项目编号：</w:t>
      </w:r>
      <w:r>
        <w:rPr>
          <w:rFonts w:hint="eastAsia" w:ascii="宋体" w:cs="宋体"/>
          <w:b/>
          <w:color w:val="auto"/>
          <w:sz w:val="24"/>
          <w:szCs w:val="24"/>
          <w:highlight w:val="none"/>
          <w:u w:val="single"/>
        </w:rPr>
        <w:t xml:space="preserve"> </w:t>
      </w:r>
      <w:r>
        <w:rPr>
          <w:rFonts w:hint="eastAsia" w:ascii="宋体" w:cs="宋体"/>
          <w:b/>
          <w:color w:val="auto"/>
          <w:sz w:val="24"/>
          <w:szCs w:val="24"/>
          <w:highlight w:val="none"/>
          <w:u w:val="single"/>
          <w:lang w:eastAsia="zh-CN"/>
        </w:rPr>
        <w:t>GDXG-2026CG025301</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000D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noWrap w:val="0"/>
            <w:vAlign w:val="center"/>
          </w:tcPr>
          <w:p w14:paraId="75532088">
            <w:pPr>
              <w:pageBreakBefore w:val="0"/>
              <w:kinsoku/>
              <w:wordWrap/>
              <w:overflowPunct/>
              <w:bidi w:val="0"/>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供应商名称</w:t>
            </w:r>
          </w:p>
        </w:tc>
        <w:tc>
          <w:tcPr>
            <w:tcW w:w="6063" w:type="dxa"/>
            <w:tcBorders>
              <w:left w:val="single" w:color="auto" w:sz="4" w:space="0"/>
            </w:tcBorders>
            <w:noWrap w:val="0"/>
            <w:vAlign w:val="top"/>
          </w:tcPr>
          <w:p w14:paraId="405B15FF">
            <w:pPr>
              <w:pageBreakBefore w:val="0"/>
              <w:kinsoku/>
              <w:wordWrap/>
              <w:overflowPunct/>
              <w:bidi w:val="0"/>
              <w:textAlignment w:val="auto"/>
              <w:outlineLvl w:val="9"/>
              <w:rPr>
                <w:rFonts w:hint="eastAsia" w:ascii="宋体" w:cs="宋体"/>
                <w:b/>
                <w:color w:val="auto"/>
                <w:sz w:val="24"/>
                <w:szCs w:val="24"/>
                <w:highlight w:val="none"/>
              </w:rPr>
            </w:pPr>
          </w:p>
        </w:tc>
      </w:tr>
      <w:tr w14:paraId="1589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noWrap w:val="0"/>
            <w:vAlign w:val="center"/>
          </w:tcPr>
          <w:p w14:paraId="6EE679E5">
            <w:pPr>
              <w:pageBreakBefore w:val="0"/>
              <w:kinsoku/>
              <w:wordWrap/>
              <w:overflowPunct/>
              <w:bidi w:val="0"/>
              <w:jc w:val="center"/>
              <w:textAlignment w:val="auto"/>
              <w:outlineLvl w:val="9"/>
              <w:rPr>
                <w:rFonts w:hint="eastAsia" w:ascii="宋体" w:cs="宋体"/>
                <w:b/>
                <w:color w:val="auto"/>
                <w:sz w:val="24"/>
                <w:szCs w:val="24"/>
                <w:highlight w:val="none"/>
              </w:rPr>
            </w:pPr>
            <w:r>
              <w:rPr>
                <w:rFonts w:hint="eastAsia" w:ascii="宋体" w:cs="宋体"/>
                <w:b/>
                <w:bCs/>
                <w:color w:val="auto"/>
                <w:sz w:val="24"/>
                <w:szCs w:val="24"/>
                <w:highlight w:val="none"/>
              </w:rPr>
              <w:t>询比</w:t>
            </w:r>
            <w:r>
              <w:rPr>
                <w:rFonts w:hint="eastAsia" w:ascii="宋体" w:cs="宋体"/>
                <w:b/>
                <w:color w:val="auto"/>
                <w:sz w:val="24"/>
                <w:szCs w:val="24"/>
                <w:highlight w:val="none"/>
              </w:rPr>
              <w:t>范围</w:t>
            </w:r>
          </w:p>
        </w:tc>
        <w:tc>
          <w:tcPr>
            <w:tcW w:w="6063" w:type="dxa"/>
            <w:tcBorders>
              <w:left w:val="single" w:color="auto" w:sz="4" w:space="0"/>
            </w:tcBorders>
            <w:noWrap w:val="0"/>
            <w:vAlign w:val="center"/>
          </w:tcPr>
          <w:p w14:paraId="3AB4CDE3">
            <w:pPr>
              <w:pageBreakBefore w:val="0"/>
              <w:widowControl/>
              <w:kinsoku/>
              <w:wordWrap/>
              <w:overflowPunct/>
              <w:bidi w:val="0"/>
              <w:textAlignment w:val="auto"/>
              <w:outlineLvl w:val="9"/>
              <w:rPr>
                <w:rFonts w:hint="eastAsia" w:ascii="宋体" w:eastAsia="宋体" w:cs="宋体"/>
                <w:b/>
                <w:color w:val="auto"/>
                <w:sz w:val="24"/>
                <w:szCs w:val="24"/>
                <w:highlight w:val="none"/>
                <w:lang w:eastAsia="zh-CN"/>
              </w:rPr>
            </w:pPr>
            <w:r>
              <w:rPr>
                <w:rFonts w:hint="eastAsia" w:ascii="宋体" w:cs="宋体"/>
                <w:b/>
                <w:color w:val="auto"/>
                <w:sz w:val="24"/>
                <w:szCs w:val="24"/>
                <w:highlight w:val="none"/>
                <w:lang w:eastAsia="zh-CN"/>
              </w:rPr>
              <w:t>全部</w:t>
            </w:r>
          </w:p>
        </w:tc>
      </w:tr>
      <w:tr w14:paraId="4E2E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2459" w:type="dxa"/>
            <w:tcBorders>
              <w:top w:val="single" w:color="auto" w:sz="4" w:space="0"/>
            </w:tcBorders>
            <w:noWrap w:val="0"/>
            <w:vAlign w:val="center"/>
          </w:tcPr>
          <w:p w14:paraId="416719BE">
            <w:pPr>
              <w:pageBreakBefore w:val="0"/>
              <w:kinsoku/>
              <w:wordWrap/>
              <w:overflowPunct/>
              <w:bidi w:val="0"/>
              <w:spacing w:line="360" w:lineRule="auto"/>
              <w:jc w:val="center"/>
              <w:textAlignment w:val="auto"/>
              <w:outlineLvl w:val="9"/>
              <w:rPr>
                <w:rFonts w:cs="@仿宋_GB2312"/>
                <w:b/>
                <w:color w:val="auto"/>
                <w:sz w:val="24"/>
                <w:highlight w:val="none"/>
              </w:rPr>
            </w:pPr>
            <w:r>
              <w:rPr>
                <w:rFonts w:hint="eastAsia" w:cs="@仿宋_GB2312"/>
                <w:b/>
                <w:color w:val="auto"/>
                <w:sz w:val="24"/>
                <w:highlight w:val="none"/>
              </w:rPr>
              <w:t>报价</w:t>
            </w:r>
          </w:p>
          <w:p w14:paraId="0EC84BDD">
            <w:pPr>
              <w:pageBreakBefore w:val="0"/>
              <w:kinsoku/>
              <w:wordWrap/>
              <w:overflowPunct/>
              <w:bidi w:val="0"/>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（详见备注说明）</w:t>
            </w:r>
          </w:p>
        </w:tc>
        <w:tc>
          <w:tcPr>
            <w:tcW w:w="6063" w:type="dxa"/>
            <w:noWrap w:val="0"/>
            <w:vAlign w:val="center"/>
          </w:tcPr>
          <w:p w14:paraId="61887DD8">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u w:val="none"/>
                <w:lang w:val="en-US" w:eastAsia="zh-CN"/>
              </w:rPr>
              <w:t>总价：</w:t>
            </w:r>
            <w:r>
              <w:rPr>
                <w:rFonts w:hint="eastAsia" w:ascii="宋体" w:cs="宋体"/>
                <w:bCs/>
                <w:color w:val="auto"/>
                <w:sz w:val="24"/>
                <w:szCs w:val="24"/>
                <w:highlight w:val="none"/>
                <w:u w:val="none"/>
                <w:lang w:val="en-US" w:eastAsia="zh-CN"/>
              </w:rPr>
              <w:br w:type="textWrapping"/>
            </w:r>
            <w:r>
              <w:rPr>
                <w:rFonts w:hint="eastAsia" w:ascii="宋体" w:cs="宋体"/>
                <w:bCs/>
                <w:color w:val="auto"/>
                <w:sz w:val="24"/>
                <w:szCs w:val="24"/>
                <w:highlight w:val="none"/>
                <w:u w:val="none"/>
                <w:lang w:val="en-US" w:eastAsia="zh-CN"/>
              </w:rPr>
              <w:t>人民币大写（含税）：</w:t>
            </w:r>
            <w:r>
              <w:rPr>
                <w:rFonts w:hint="eastAsia" w:ascii="宋体" w:cs="宋体"/>
                <w:bCs/>
                <w:color w:val="auto"/>
                <w:sz w:val="24"/>
                <w:szCs w:val="24"/>
                <w:highlight w:val="none"/>
                <w:u w:val="single"/>
                <w:lang w:val="en-US" w:eastAsia="zh-CN"/>
              </w:rPr>
              <w:t xml:space="preserve">               </w:t>
            </w:r>
            <w:r>
              <w:rPr>
                <w:rFonts w:hint="eastAsia" w:ascii="宋体" w:cs="宋体"/>
                <w:bCs/>
                <w:color w:val="auto"/>
                <w:sz w:val="24"/>
                <w:szCs w:val="24"/>
                <w:highlight w:val="none"/>
                <w:u w:val="none"/>
                <w:lang w:val="en-US" w:eastAsia="zh-CN"/>
              </w:rPr>
              <w:t>元</w:t>
            </w:r>
          </w:p>
          <w:p w14:paraId="336512B5">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rPr>
              <w:t>人民币小写</w:t>
            </w:r>
            <w:r>
              <w:rPr>
                <w:rFonts w:hint="eastAsia" w:ascii="宋体" w:cs="宋体"/>
                <w:bCs/>
                <w:color w:val="auto"/>
                <w:sz w:val="24"/>
                <w:szCs w:val="24"/>
                <w:highlight w:val="none"/>
                <w:lang w:eastAsia="zh-CN"/>
              </w:rPr>
              <w:t>（含税）</w:t>
            </w:r>
            <w:r>
              <w:rPr>
                <w:rFonts w:hint="eastAsia" w:ascii="宋体" w:cs="宋体"/>
                <w:bCs/>
                <w:color w:val="auto"/>
                <w:sz w:val="24"/>
                <w:szCs w:val="24"/>
                <w:highlight w:val="none"/>
              </w:rPr>
              <w:t>：</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u w:val="none"/>
                <w:lang w:val="en-US" w:eastAsia="zh-CN"/>
              </w:rPr>
              <w:t>元</w:t>
            </w:r>
            <w:r>
              <w:rPr>
                <w:rFonts w:hint="eastAsia" w:ascii="宋体" w:cs="宋体"/>
                <w:bCs/>
                <w:color w:val="auto"/>
                <w:sz w:val="24"/>
                <w:szCs w:val="24"/>
                <w:highlight w:val="none"/>
                <w:u w:val="none"/>
                <w:lang w:val="en-US" w:eastAsia="zh-CN"/>
              </w:rPr>
              <w:br w:type="textWrapping"/>
            </w:r>
            <w:r>
              <w:rPr>
                <w:rFonts w:hint="eastAsia" w:ascii="宋体" w:cs="宋体"/>
                <w:bCs/>
                <w:color w:val="auto"/>
                <w:sz w:val="24"/>
                <w:szCs w:val="24"/>
                <w:highlight w:val="none"/>
                <w:u w:val="none"/>
                <w:lang w:val="en-US" w:eastAsia="zh-CN"/>
              </w:rPr>
              <w:t>Ⅱ类劳务外包人员服务费全日制：</w:t>
            </w:r>
          </w:p>
          <w:p w14:paraId="67230AD6">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u w:val="none"/>
                <w:lang w:val="en-US" w:eastAsia="zh-CN"/>
              </w:rPr>
              <w:t>人民币大写（含税）：</w:t>
            </w:r>
            <w:r>
              <w:rPr>
                <w:rFonts w:hint="eastAsia" w:ascii="宋体" w:cs="宋体"/>
                <w:bCs/>
                <w:color w:val="auto"/>
                <w:sz w:val="24"/>
                <w:szCs w:val="24"/>
                <w:highlight w:val="none"/>
                <w:u w:val="single"/>
                <w:lang w:val="en-US" w:eastAsia="zh-CN"/>
              </w:rPr>
              <w:t xml:space="preserve">               </w:t>
            </w:r>
            <w:r>
              <w:rPr>
                <w:rFonts w:hint="eastAsia" w:ascii="宋体" w:cs="宋体"/>
                <w:bCs/>
                <w:color w:val="auto"/>
                <w:sz w:val="24"/>
                <w:szCs w:val="24"/>
                <w:highlight w:val="none"/>
                <w:u w:val="none"/>
                <w:lang w:val="en-US" w:eastAsia="zh-CN"/>
              </w:rPr>
              <w:t>元/人/月</w:t>
            </w:r>
          </w:p>
          <w:p w14:paraId="44610E19">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rPr>
              <w:t>人民币小写</w:t>
            </w:r>
            <w:r>
              <w:rPr>
                <w:rFonts w:hint="eastAsia" w:ascii="宋体" w:cs="宋体"/>
                <w:bCs/>
                <w:color w:val="auto"/>
                <w:sz w:val="24"/>
                <w:szCs w:val="24"/>
                <w:highlight w:val="none"/>
                <w:lang w:eastAsia="zh-CN"/>
              </w:rPr>
              <w:t>（含税）</w:t>
            </w:r>
            <w:r>
              <w:rPr>
                <w:rFonts w:hint="eastAsia" w:ascii="宋体" w:cs="宋体"/>
                <w:bCs/>
                <w:color w:val="auto"/>
                <w:sz w:val="24"/>
                <w:szCs w:val="24"/>
                <w:highlight w:val="none"/>
              </w:rPr>
              <w:t>：</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u w:val="none"/>
                <w:lang w:val="en-US" w:eastAsia="zh-CN"/>
              </w:rPr>
              <w:t>元/人/月</w:t>
            </w:r>
          </w:p>
          <w:p w14:paraId="250EF0DF">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u w:val="none"/>
                <w:lang w:val="en-US" w:eastAsia="zh-CN"/>
              </w:rPr>
              <w:t>Ⅱ类劳务外包人员服务费非全日制：</w:t>
            </w:r>
          </w:p>
          <w:p w14:paraId="1CC2BA33">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u w:val="none"/>
                <w:lang w:val="en-US" w:eastAsia="zh-CN"/>
              </w:rPr>
              <w:t>人民币大写（含税）：</w:t>
            </w:r>
            <w:r>
              <w:rPr>
                <w:rFonts w:hint="eastAsia" w:ascii="宋体" w:cs="宋体"/>
                <w:bCs/>
                <w:color w:val="auto"/>
                <w:sz w:val="24"/>
                <w:szCs w:val="24"/>
                <w:highlight w:val="none"/>
                <w:u w:val="single"/>
                <w:lang w:val="en-US" w:eastAsia="zh-CN"/>
              </w:rPr>
              <w:t xml:space="preserve">               </w:t>
            </w:r>
            <w:r>
              <w:rPr>
                <w:rFonts w:hint="eastAsia" w:ascii="宋体" w:cs="宋体"/>
                <w:bCs/>
                <w:color w:val="auto"/>
                <w:sz w:val="24"/>
                <w:szCs w:val="24"/>
                <w:highlight w:val="none"/>
                <w:u w:val="none"/>
                <w:lang w:val="en-US" w:eastAsia="zh-CN"/>
              </w:rPr>
              <w:t>元/人/月</w:t>
            </w:r>
          </w:p>
          <w:p w14:paraId="38B3C1B1">
            <w:pPr>
              <w:pageBreakBefore w:val="0"/>
              <w:kinsoku/>
              <w:wordWrap/>
              <w:overflowPunct/>
              <w:bidi w:val="0"/>
              <w:snapToGrid w:val="0"/>
              <w:textAlignment w:val="auto"/>
              <w:outlineLvl w:val="9"/>
              <w:rPr>
                <w:rFonts w:hint="eastAsia" w:ascii="宋体" w:cs="宋体"/>
                <w:bCs/>
                <w:color w:val="auto"/>
                <w:sz w:val="24"/>
                <w:szCs w:val="24"/>
                <w:highlight w:val="none"/>
                <w:u w:val="none"/>
                <w:lang w:val="en-US" w:eastAsia="zh-CN"/>
              </w:rPr>
            </w:pPr>
            <w:r>
              <w:rPr>
                <w:rFonts w:hint="eastAsia" w:ascii="宋体" w:cs="宋体"/>
                <w:bCs/>
                <w:color w:val="auto"/>
                <w:sz w:val="24"/>
                <w:szCs w:val="24"/>
                <w:highlight w:val="none"/>
              </w:rPr>
              <w:t>人民币小写</w:t>
            </w:r>
            <w:r>
              <w:rPr>
                <w:rFonts w:hint="eastAsia" w:ascii="宋体" w:cs="宋体"/>
                <w:bCs/>
                <w:color w:val="auto"/>
                <w:sz w:val="24"/>
                <w:szCs w:val="24"/>
                <w:highlight w:val="none"/>
                <w:lang w:eastAsia="zh-CN"/>
              </w:rPr>
              <w:t>（含税）</w:t>
            </w:r>
            <w:r>
              <w:rPr>
                <w:rFonts w:hint="eastAsia" w:ascii="宋体" w:cs="宋体"/>
                <w:bCs/>
                <w:color w:val="auto"/>
                <w:sz w:val="24"/>
                <w:szCs w:val="24"/>
                <w:highlight w:val="none"/>
              </w:rPr>
              <w:t>：</w:t>
            </w:r>
            <w:r>
              <w:rPr>
                <w:rFonts w:hint="eastAsia" w:ascii="宋体" w:cs="宋体"/>
                <w:bCs/>
                <w:color w:val="auto"/>
                <w:sz w:val="24"/>
                <w:szCs w:val="24"/>
                <w:highlight w:val="none"/>
                <w:u w:val="single"/>
              </w:rPr>
              <w:t xml:space="preserve">               </w:t>
            </w:r>
            <w:r>
              <w:rPr>
                <w:rFonts w:hint="eastAsia" w:ascii="宋体" w:cs="宋体"/>
                <w:bCs/>
                <w:color w:val="auto"/>
                <w:sz w:val="24"/>
                <w:szCs w:val="24"/>
                <w:highlight w:val="none"/>
                <w:u w:val="none"/>
                <w:lang w:val="en-US" w:eastAsia="zh-CN"/>
              </w:rPr>
              <w:t>元/人/月</w:t>
            </w:r>
          </w:p>
        </w:tc>
      </w:tr>
      <w:tr w14:paraId="5E01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jc w:val="center"/>
        </w:trPr>
        <w:tc>
          <w:tcPr>
            <w:tcW w:w="2459" w:type="dxa"/>
            <w:noWrap w:val="0"/>
            <w:vAlign w:val="center"/>
          </w:tcPr>
          <w:p w14:paraId="2E094597">
            <w:pPr>
              <w:pageBreakBefore w:val="0"/>
              <w:kinsoku/>
              <w:wordWrap/>
              <w:overflowPunct/>
              <w:bidi w:val="0"/>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备注说明</w:t>
            </w:r>
          </w:p>
        </w:tc>
        <w:tc>
          <w:tcPr>
            <w:tcW w:w="6063" w:type="dxa"/>
            <w:noWrap w:val="0"/>
            <w:vAlign w:val="top"/>
          </w:tcPr>
          <w:p w14:paraId="4CAC75FE">
            <w:pPr>
              <w:pageBreakBefore w:val="0"/>
              <w:numPr>
                <w:ilvl w:val="0"/>
                <w:numId w:val="4"/>
              </w:numPr>
              <w:kinsoku/>
              <w:wordWrap/>
              <w:overflowPunct/>
              <w:bidi w:val="0"/>
              <w:textAlignment w:val="auto"/>
              <w:outlineLvl w:val="9"/>
              <w:rPr>
                <w:rFonts w:hint="eastAsia" w:ascii="宋体" w:cs="宋体"/>
                <w:b/>
                <w:color w:val="auto"/>
                <w:sz w:val="24"/>
                <w:szCs w:val="24"/>
                <w:highlight w:val="none"/>
                <w:lang w:val="en-US" w:eastAsia="zh-CN"/>
              </w:rPr>
            </w:pPr>
            <w:r>
              <w:rPr>
                <w:rFonts w:hint="eastAsia" w:ascii="宋体" w:cs="宋体"/>
                <w:b/>
                <w:color w:val="auto"/>
                <w:sz w:val="24"/>
                <w:szCs w:val="24"/>
                <w:highlight w:val="none"/>
              </w:rPr>
              <w:t>供应商报价</w:t>
            </w:r>
            <w:r>
              <w:rPr>
                <w:rFonts w:hint="eastAsia" w:ascii="宋体" w:cs="宋体"/>
                <w:b/>
                <w:color w:val="auto"/>
                <w:sz w:val="24"/>
                <w:szCs w:val="24"/>
                <w:highlight w:val="none"/>
                <w:lang w:val="en-US" w:eastAsia="zh-CN"/>
              </w:rPr>
              <w:t>应包含完成本项目服务的所有内容，包括但不限于服务费、管理费、差旅费、培训费、税金等；</w:t>
            </w:r>
          </w:p>
          <w:p w14:paraId="38538F96">
            <w:pPr>
              <w:pageBreakBefore w:val="0"/>
              <w:numPr>
                <w:ilvl w:val="0"/>
                <w:numId w:val="4"/>
              </w:numPr>
              <w:kinsoku/>
              <w:wordWrap/>
              <w:overflowPunct/>
              <w:bidi w:val="0"/>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lang w:val="en-US" w:eastAsia="zh-CN"/>
              </w:rPr>
              <w:t>供应商报价</w:t>
            </w:r>
            <w:r>
              <w:rPr>
                <w:rFonts w:hint="eastAsia" w:ascii="宋体" w:cs="宋体"/>
                <w:b/>
                <w:color w:val="auto"/>
                <w:sz w:val="24"/>
                <w:szCs w:val="24"/>
                <w:highlight w:val="none"/>
              </w:rPr>
              <w:t>总价与单价合计不同的，以单价合计金额为准。</w:t>
            </w:r>
          </w:p>
        </w:tc>
      </w:tr>
    </w:tbl>
    <w:p w14:paraId="0E3F212B">
      <w:pPr>
        <w:pageBreakBefore w:val="0"/>
        <w:kinsoku/>
        <w:wordWrap/>
        <w:overflowPunct/>
        <w:bidi w:val="0"/>
        <w:spacing w:line="440" w:lineRule="exact"/>
        <w:ind w:firstLine="4800" w:firstLineChars="2000"/>
        <w:textAlignment w:val="auto"/>
        <w:outlineLvl w:val="9"/>
        <w:rPr>
          <w:rFonts w:cs="@仿宋_GB2312"/>
          <w:color w:val="auto"/>
          <w:sz w:val="24"/>
          <w:szCs w:val="24"/>
          <w:highlight w:val="none"/>
          <w:u w:val="single"/>
        </w:rPr>
      </w:pPr>
      <w:r>
        <w:rPr>
          <w:rFonts w:hint="eastAsia" w:cs="@仿宋_GB2312"/>
          <w:color w:val="auto"/>
          <w:sz w:val="24"/>
          <w:szCs w:val="24"/>
          <w:highlight w:val="none"/>
        </w:rPr>
        <w:t>供应商公章：</w:t>
      </w:r>
      <w:r>
        <w:rPr>
          <w:rFonts w:hint="eastAsia" w:cs="@仿宋_GB2312"/>
          <w:color w:val="auto"/>
          <w:sz w:val="24"/>
          <w:szCs w:val="24"/>
          <w:highlight w:val="none"/>
          <w:u w:val="single"/>
        </w:rPr>
        <w:t xml:space="preserve">     </w:t>
      </w:r>
      <w:r>
        <w:rPr>
          <w:rFonts w:cs="@仿宋_GB2312"/>
          <w:color w:val="auto"/>
          <w:sz w:val="24"/>
          <w:szCs w:val="24"/>
          <w:highlight w:val="none"/>
          <w:u w:val="single"/>
        </w:rPr>
        <w:t xml:space="preserve">    </w:t>
      </w:r>
      <w:r>
        <w:rPr>
          <w:rFonts w:hint="eastAsia" w:cs="@仿宋_GB2312"/>
          <w:color w:val="auto"/>
          <w:sz w:val="24"/>
          <w:szCs w:val="24"/>
          <w:highlight w:val="none"/>
          <w:u w:val="single"/>
        </w:rPr>
        <w:t xml:space="preserve">    </w:t>
      </w:r>
    </w:p>
    <w:p w14:paraId="13B40F83">
      <w:pPr>
        <w:pageBreakBefore w:val="0"/>
        <w:kinsoku/>
        <w:wordWrap/>
        <w:overflowPunct/>
        <w:bidi w:val="0"/>
        <w:spacing w:line="440" w:lineRule="exact"/>
        <w:ind w:firstLine="4800" w:firstLineChars="2000"/>
        <w:textAlignment w:val="auto"/>
        <w:outlineLvl w:val="9"/>
        <w:rPr>
          <w:rFonts w:cs="@仿宋_GB2312"/>
          <w:color w:val="auto"/>
          <w:sz w:val="24"/>
          <w:szCs w:val="24"/>
          <w:highlight w:val="none"/>
          <w:u w:val="single"/>
        </w:rPr>
      </w:pPr>
      <w:r>
        <w:rPr>
          <w:rFonts w:hint="eastAsia" w:cs="@仿宋_GB2312"/>
          <w:color w:val="auto"/>
          <w:sz w:val="24"/>
          <w:szCs w:val="24"/>
          <w:highlight w:val="none"/>
        </w:rPr>
        <w:t xml:space="preserve">日    </w:t>
      </w:r>
      <w:r>
        <w:rPr>
          <w:rFonts w:cs="@仿宋_GB2312"/>
          <w:color w:val="auto"/>
          <w:sz w:val="24"/>
          <w:szCs w:val="24"/>
          <w:highlight w:val="none"/>
        </w:rPr>
        <w:t xml:space="preserve"> </w:t>
      </w:r>
      <w:r>
        <w:rPr>
          <w:rFonts w:hint="eastAsia" w:cs="@仿宋_GB2312"/>
          <w:color w:val="auto"/>
          <w:sz w:val="24"/>
          <w:szCs w:val="24"/>
          <w:highlight w:val="none"/>
        </w:rPr>
        <w:t xml:space="preserve"> 期：</w:t>
      </w:r>
      <w:r>
        <w:rPr>
          <w:rFonts w:hint="eastAsia" w:cs="@仿宋_GB2312"/>
          <w:color w:val="auto"/>
          <w:sz w:val="24"/>
          <w:szCs w:val="24"/>
          <w:highlight w:val="none"/>
          <w:u w:val="single"/>
        </w:rPr>
        <w:t xml:space="preserve">             </w:t>
      </w:r>
    </w:p>
    <w:p w14:paraId="0A21A82E">
      <w:pPr>
        <w:pageBreakBefore w:val="0"/>
        <w:kinsoku/>
        <w:wordWrap/>
        <w:overflowPunct/>
        <w:bidi w:val="0"/>
        <w:adjustRightInd w:val="0"/>
        <w:snapToGrid w:val="0"/>
        <w:spacing w:line="360" w:lineRule="auto"/>
        <w:textAlignment w:val="auto"/>
        <w:outlineLvl w:val="9"/>
        <w:rPr>
          <w:rFonts w:hint="eastAsia" w:ascii="宋体" w:cs="宋体"/>
          <w:b/>
          <w:bCs/>
          <w:color w:val="auto"/>
          <w:sz w:val="24"/>
          <w:szCs w:val="24"/>
          <w:highlight w:val="none"/>
        </w:rPr>
      </w:pPr>
      <w:r>
        <w:rPr>
          <w:rFonts w:hint="eastAsia" w:ascii="宋体" w:cs="宋体"/>
          <w:b/>
          <w:bCs/>
          <w:color w:val="auto"/>
          <w:sz w:val="24"/>
          <w:szCs w:val="24"/>
          <w:highlight w:val="none"/>
        </w:rPr>
        <w:t>注：</w:t>
      </w:r>
    </w:p>
    <w:p w14:paraId="79906ED6">
      <w:pPr>
        <w:pageBreakBefore w:val="0"/>
        <w:kinsoku/>
        <w:wordWrap/>
        <w:overflowPunct/>
        <w:bidi w:val="0"/>
        <w:adjustRightInd w:val="0"/>
        <w:snapToGrid w:val="0"/>
        <w:spacing w:line="360" w:lineRule="auto"/>
        <w:ind w:firstLine="482" w:firstLineChars="200"/>
        <w:textAlignment w:val="auto"/>
        <w:outlineLvl w:val="9"/>
        <w:rPr>
          <w:rFonts w:hint="eastAsia" w:ascii="宋体" w:hAnsi="宋体" w:cs="宋体"/>
          <w:color w:val="auto"/>
          <w:sz w:val="24"/>
          <w:szCs w:val="24"/>
          <w:highlight w:val="none"/>
        </w:rPr>
      </w:pPr>
      <w:r>
        <w:rPr>
          <w:rFonts w:hint="eastAsia" w:ascii="宋体" w:hAnsi="宋体" w:cs="宋体"/>
          <w:b/>
          <w:bCs/>
          <w:color w:val="auto"/>
          <w:sz w:val="24"/>
          <w:szCs w:val="24"/>
          <w:highlight w:val="none"/>
        </w:rPr>
        <w:t>1.</w:t>
      </w:r>
      <w:r>
        <w:rPr>
          <w:rFonts w:hint="eastAsia" w:ascii="宋体" w:hAnsi="宋体" w:cs="宋体"/>
          <w:b/>
          <w:bCs/>
          <w:color w:val="auto"/>
          <w:sz w:val="24"/>
          <w:szCs w:val="28"/>
          <w:highlight w:val="none"/>
        </w:rPr>
        <w:t>本表内容根据询比文件要求包括了完成本项目及其相关采购等所产生的一切费用。</w:t>
      </w:r>
    </w:p>
    <w:p w14:paraId="424C15E1">
      <w:pPr>
        <w:pageBreakBefore w:val="0"/>
        <w:kinsoku/>
        <w:wordWrap/>
        <w:overflowPunct/>
        <w:bidi w:val="0"/>
        <w:adjustRightInd w:val="0"/>
        <w:snapToGrid w:val="0"/>
        <w:spacing w:line="360" w:lineRule="auto"/>
        <w:ind w:firstLine="482" w:firstLineChars="200"/>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2.特殊事项在备注中注明。</w:t>
      </w:r>
    </w:p>
    <w:p w14:paraId="126AD57D">
      <w:pPr>
        <w:pStyle w:val="24"/>
        <w:pageBreakBefore w:val="0"/>
        <w:kinsoku/>
        <w:wordWrap/>
        <w:overflowPunct/>
        <w:bidi w:val="0"/>
        <w:spacing w:line="360" w:lineRule="auto"/>
        <w:ind w:firstLine="482" w:firstLineChars="200"/>
        <w:textAlignment w:val="auto"/>
        <w:outlineLvl w:val="9"/>
        <w:rPr>
          <w:rFonts w:hint="eastAsia" w:ascii="宋体" w:hAnsi="宋体" w:eastAsia="宋体" w:cs="宋体"/>
          <w:b/>
          <w:bCs/>
          <w:color w:val="auto"/>
          <w:sz w:val="24"/>
          <w:szCs w:val="28"/>
          <w:highlight w:val="none"/>
          <w:lang w:val="en-US"/>
        </w:rPr>
      </w:pPr>
      <w:r>
        <w:rPr>
          <w:rFonts w:hint="eastAsia" w:ascii="宋体" w:hAnsi="宋体" w:eastAsia="宋体" w:cs="宋体"/>
          <w:b/>
          <w:bCs/>
          <w:color w:val="auto"/>
          <w:sz w:val="24"/>
          <w:szCs w:val="28"/>
          <w:highlight w:val="none"/>
          <w:lang w:val="en-US"/>
        </w:rPr>
        <w:t>3.供应商应根据其响应文件中报价表的内容填写唱标信息，唱标信息不作为评审的依据。唱标信息与报价表不一致的，以报价表为准。</w:t>
      </w:r>
    </w:p>
    <w:p w14:paraId="4D0237C7">
      <w:pPr>
        <w:pStyle w:val="24"/>
        <w:pageBreakBefore w:val="0"/>
        <w:kinsoku/>
        <w:wordWrap/>
        <w:overflowPunct/>
        <w:bidi w:val="0"/>
        <w:spacing w:line="360" w:lineRule="auto"/>
        <w:ind w:firstLine="482" w:firstLineChars="200"/>
        <w:textAlignment w:val="auto"/>
        <w:outlineLvl w:val="9"/>
        <w:rPr>
          <w:rFonts w:hint="eastAsia" w:ascii="宋体" w:cs="宋体"/>
          <w:b/>
          <w:color w:val="auto"/>
          <w:sz w:val="24"/>
          <w:szCs w:val="24"/>
          <w:highlight w:val="none"/>
        </w:rPr>
      </w:pPr>
      <w:r>
        <w:rPr>
          <w:rFonts w:hint="eastAsia" w:ascii="宋体" w:hAnsi="宋体" w:eastAsia="宋体" w:cs="宋体"/>
          <w:b/>
          <w:bCs/>
          <w:color w:val="auto"/>
          <w:sz w:val="24"/>
          <w:szCs w:val="28"/>
          <w:highlight w:val="none"/>
          <w:lang w:val="en-US"/>
        </w:rPr>
        <w:t>4. 报价表中大写金额与小写金额不一致的，以大写金额为准。</w:t>
      </w:r>
    </w:p>
    <w:p w14:paraId="5F0B74BB">
      <w:pPr>
        <w:keepNext/>
        <w:keepLines/>
        <w:pageBreakBefore w:val="0"/>
        <w:kinsoku/>
        <w:wordWrap/>
        <w:overflowPunct/>
        <w:bidi w:val="0"/>
        <w:spacing w:before="260" w:after="260" w:line="415" w:lineRule="auto"/>
        <w:jc w:val="center"/>
        <w:textAlignment w:val="auto"/>
        <w:outlineLvl w:val="9"/>
        <w:rPr>
          <w:rFonts w:hint="eastAsia" w:ascii="宋体" w:cs="@仿宋_GB2312"/>
          <w:b/>
          <w:bCs/>
          <w:color w:val="auto"/>
          <w:sz w:val="24"/>
          <w:szCs w:val="24"/>
          <w:highlight w:val="none"/>
        </w:rPr>
      </w:pPr>
      <w:r>
        <w:rPr>
          <w:rFonts w:hint="eastAsia" w:ascii="宋体" w:cs="宋体"/>
          <w:b/>
          <w:color w:val="auto"/>
          <w:sz w:val="24"/>
          <w:szCs w:val="24"/>
          <w:highlight w:val="none"/>
        </w:rPr>
        <w:br w:type="page"/>
      </w:r>
      <w:r>
        <w:rPr>
          <w:rFonts w:hint="eastAsia" w:ascii="宋体" w:cs="@仿宋_GB2312"/>
          <w:b/>
          <w:bCs/>
          <w:color w:val="auto"/>
          <w:sz w:val="24"/>
          <w:szCs w:val="24"/>
          <w:highlight w:val="none"/>
          <w:lang w:val="en-US" w:eastAsia="zh-CN"/>
        </w:rPr>
        <w:t>三</w:t>
      </w:r>
      <w:r>
        <w:rPr>
          <w:rFonts w:hint="eastAsia" w:ascii="宋体" w:cs="@仿宋_GB2312"/>
          <w:b/>
          <w:bCs/>
          <w:color w:val="auto"/>
          <w:sz w:val="24"/>
          <w:szCs w:val="24"/>
          <w:highlight w:val="none"/>
        </w:rPr>
        <w:t>、供应商综合情况简介</w:t>
      </w:r>
    </w:p>
    <w:tbl>
      <w:tblPr>
        <w:tblStyle w:val="26"/>
        <w:tblW w:w="8931"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4"/>
        <w:gridCol w:w="945"/>
        <w:gridCol w:w="2409"/>
        <w:gridCol w:w="1135"/>
        <w:gridCol w:w="2268"/>
      </w:tblGrid>
      <w:tr w14:paraId="7C857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7C825F15">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供应商名称</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7E51760E">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47DB9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0C86EEDC">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注册资金</w:t>
            </w:r>
          </w:p>
        </w:tc>
        <w:tc>
          <w:tcPr>
            <w:tcW w:w="3354" w:type="dxa"/>
            <w:gridSpan w:val="2"/>
            <w:tcBorders>
              <w:top w:val="single" w:color="auto" w:sz="4" w:space="0"/>
              <w:left w:val="single" w:color="auto" w:sz="4" w:space="0"/>
              <w:bottom w:val="single" w:color="auto" w:sz="4" w:space="0"/>
              <w:right w:val="single" w:color="auto" w:sz="4" w:space="0"/>
            </w:tcBorders>
            <w:noWrap w:val="0"/>
            <w:vAlign w:val="center"/>
          </w:tcPr>
          <w:p w14:paraId="39A3157A">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317C383A">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成立时间</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2993DF7">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3E7E6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088FC055">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注册地址</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3DB07CAB">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6C005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5EB9EABE">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邮政编码</w:t>
            </w:r>
          </w:p>
        </w:tc>
        <w:tc>
          <w:tcPr>
            <w:tcW w:w="3354" w:type="dxa"/>
            <w:gridSpan w:val="2"/>
            <w:tcBorders>
              <w:top w:val="single" w:color="auto" w:sz="4" w:space="0"/>
              <w:left w:val="single" w:color="auto" w:sz="4" w:space="0"/>
              <w:bottom w:val="single" w:color="auto" w:sz="4" w:space="0"/>
              <w:right w:val="single" w:color="auto" w:sz="4" w:space="0"/>
            </w:tcBorders>
            <w:noWrap w:val="0"/>
            <w:vAlign w:val="center"/>
          </w:tcPr>
          <w:p w14:paraId="1FCD6F7E">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AC94FC8">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员工总数</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8823F1A">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6F907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vMerge w:val="restart"/>
            <w:tcBorders>
              <w:top w:val="single" w:color="auto" w:sz="4" w:space="0"/>
              <w:left w:val="single" w:color="auto" w:sz="4" w:space="0"/>
              <w:bottom w:val="single" w:color="auto" w:sz="4" w:space="0"/>
              <w:right w:val="single" w:color="auto" w:sz="4" w:space="0"/>
            </w:tcBorders>
            <w:noWrap w:val="0"/>
            <w:vAlign w:val="center"/>
          </w:tcPr>
          <w:p w14:paraId="54FEBA40">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联系方式</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A65B385">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联系人</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9E4E517">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6DEE08C">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520CC8C">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0AD6B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vMerge w:val="continue"/>
            <w:tcBorders>
              <w:top w:val="single" w:color="auto" w:sz="4" w:space="0"/>
              <w:left w:val="single" w:color="auto" w:sz="4" w:space="0"/>
              <w:bottom w:val="single" w:color="auto" w:sz="4" w:space="0"/>
              <w:right w:val="single" w:color="auto" w:sz="4" w:space="0"/>
            </w:tcBorders>
            <w:noWrap w:val="0"/>
            <w:vAlign w:val="center"/>
          </w:tcPr>
          <w:p w14:paraId="2EBAD979">
            <w:pPr>
              <w:pageBreakBefore w:val="0"/>
              <w:kinsoku/>
              <w:wordWrap/>
              <w:overflowPunct/>
              <w:bidi w:val="0"/>
              <w:spacing w:line="360" w:lineRule="auto"/>
              <w:textAlignment w:val="auto"/>
              <w:outlineLvl w:val="9"/>
              <w:rPr>
                <w:rFonts w:hint="eastAsia" w:ascii="宋体" w:hAnsi="宋体" w:cs="宋体"/>
                <w:color w:val="auto"/>
                <w:kern w:val="0"/>
                <w:sz w:val="24"/>
                <w:szCs w:val="20"/>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DCF8416">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网址</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56D82BA">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9115405">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传真</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EC7F29">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27F01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06A7E40B">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法定代表人</w:t>
            </w:r>
          </w:p>
          <w:p w14:paraId="7640A0CD">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（单位负责人）</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525AC14">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姓名</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5B797DF3">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9741CA3">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8C8A86A">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r w14:paraId="0C3BE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2174" w:type="dxa"/>
            <w:tcBorders>
              <w:top w:val="single" w:color="auto" w:sz="4" w:space="0"/>
              <w:left w:val="single" w:color="auto" w:sz="4" w:space="0"/>
              <w:right w:val="single" w:color="auto" w:sz="4" w:space="0"/>
            </w:tcBorders>
            <w:noWrap w:val="0"/>
            <w:vAlign w:val="center"/>
          </w:tcPr>
          <w:p w14:paraId="2F729F74">
            <w:pPr>
              <w:pageBreakBefore w:val="0"/>
              <w:kinsoku/>
              <w:wordWrap/>
              <w:overflowPunct/>
              <w:autoSpaceDE w:val="0"/>
              <w:autoSpaceDN w:val="0"/>
              <w:bidi w:val="0"/>
              <w:adjustRightInd w:val="0"/>
              <w:snapToGrid w:val="0"/>
              <w:jc w:val="center"/>
              <w:textAlignment w:val="auto"/>
              <w:outlineLvl w:val="9"/>
              <w:rPr>
                <w:rFonts w:hint="eastAsia" w:ascii="宋体" w:hAnsi="宋体" w:cs="宋体"/>
                <w:color w:val="auto"/>
                <w:kern w:val="0"/>
                <w:sz w:val="24"/>
                <w:szCs w:val="20"/>
                <w:highlight w:val="none"/>
              </w:rPr>
            </w:pPr>
            <w:r>
              <w:rPr>
                <w:rFonts w:hint="eastAsia" w:ascii="Times New Roman" w:hAnsi="Times New Roman"/>
                <w:color w:val="auto"/>
                <w:kern w:val="0"/>
                <w:sz w:val="24"/>
                <w:szCs w:val="24"/>
                <w:highlight w:val="none"/>
              </w:rPr>
              <w:t>经营范围</w:t>
            </w:r>
          </w:p>
        </w:tc>
        <w:tc>
          <w:tcPr>
            <w:tcW w:w="6757" w:type="dxa"/>
            <w:gridSpan w:val="4"/>
            <w:tcBorders>
              <w:top w:val="single" w:color="auto" w:sz="4" w:space="0"/>
              <w:left w:val="single" w:color="auto" w:sz="4" w:space="0"/>
              <w:right w:val="single" w:color="auto" w:sz="4" w:space="0"/>
            </w:tcBorders>
            <w:noWrap w:val="0"/>
            <w:vAlign w:val="center"/>
          </w:tcPr>
          <w:p w14:paraId="490E57EF">
            <w:pPr>
              <w:pageBreakBefore w:val="0"/>
              <w:kinsoku/>
              <w:wordWrap/>
              <w:overflowPunct/>
              <w:autoSpaceDE w:val="0"/>
              <w:autoSpaceDN w:val="0"/>
              <w:bidi w:val="0"/>
              <w:adjustRightInd w:val="0"/>
              <w:snapToGrid w:val="0"/>
              <w:textAlignment w:val="auto"/>
              <w:outlineLvl w:val="9"/>
              <w:rPr>
                <w:rFonts w:hint="eastAsia" w:ascii="宋体" w:hAnsi="宋体" w:cs="宋体"/>
                <w:color w:val="auto"/>
                <w:kern w:val="0"/>
                <w:sz w:val="24"/>
                <w:szCs w:val="20"/>
                <w:highlight w:val="none"/>
              </w:rPr>
            </w:pPr>
          </w:p>
        </w:tc>
      </w:tr>
      <w:tr w14:paraId="53EA1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right w:val="single" w:color="auto" w:sz="4" w:space="0"/>
            </w:tcBorders>
            <w:noWrap w:val="0"/>
            <w:vAlign w:val="center"/>
          </w:tcPr>
          <w:p w14:paraId="1AF1031B">
            <w:pPr>
              <w:pageBreakBefore w:val="0"/>
              <w:kinsoku/>
              <w:wordWrap/>
              <w:overflowPunct/>
              <w:autoSpaceDE w:val="0"/>
              <w:autoSpaceDN w:val="0"/>
              <w:bidi w:val="0"/>
              <w:adjustRightInd w:val="0"/>
              <w:snapToGrid w:val="0"/>
              <w:jc w:val="center"/>
              <w:textAlignment w:val="auto"/>
              <w:outlineLvl w:val="9"/>
              <w:rPr>
                <w:rFonts w:ascii="Times New Roman" w:hAnsi="Times New Roman"/>
                <w:color w:val="auto"/>
                <w:kern w:val="0"/>
                <w:sz w:val="24"/>
                <w:szCs w:val="24"/>
                <w:highlight w:val="none"/>
              </w:rPr>
            </w:pPr>
            <w:r>
              <w:rPr>
                <w:rFonts w:hint="eastAsia" w:ascii="Times New Roman" w:hAnsi="Times New Roman"/>
                <w:color w:val="auto"/>
                <w:kern w:val="0"/>
                <w:sz w:val="24"/>
                <w:szCs w:val="24"/>
                <w:highlight w:val="none"/>
              </w:rPr>
              <w:t>供应商</w:t>
            </w:r>
            <w:r>
              <w:rPr>
                <w:rFonts w:ascii="Times New Roman" w:hAnsi="Times New Roman"/>
                <w:color w:val="auto"/>
                <w:kern w:val="0"/>
                <w:sz w:val="24"/>
                <w:szCs w:val="24"/>
                <w:highlight w:val="none"/>
              </w:rPr>
              <w:t>关联</w:t>
            </w:r>
          </w:p>
          <w:p w14:paraId="4DD775F9">
            <w:pPr>
              <w:pageBreakBefore w:val="0"/>
              <w:kinsoku/>
              <w:wordWrap/>
              <w:overflowPunct/>
              <w:autoSpaceDE w:val="0"/>
              <w:autoSpaceDN w:val="0"/>
              <w:bidi w:val="0"/>
              <w:adjustRightInd w:val="0"/>
              <w:snapToGrid w:val="0"/>
              <w:jc w:val="center"/>
              <w:textAlignment w:val="auto"/>
              <w:outlineLvl w:val="9"/>
              <w:rPr>
                <w:rFonts w:hint="eastAsia" w:ascii="宋体" w:hAnsi="宋体" w:cs="宋体"/>
                <w:color w:val="auto"/>
                <w:kern w:val="0"/>
                <w:sz w:val="24"/>
                <w:szCs w:val="20"/>
                <w:highlight w:val="none"/>
              </w:rPr>
            </w:pPr>
            <w:r>
              <w:rPr>
                <w:rFonts w:ascii="Times New Roman" w:hAnsi="Times New Roman"/>
                <w:color w:val="auto"/>
                <w:kern w:val="0"/>
                <w:sz w:val="24"/>
                <w:szCs w:val="24"/>
                <w:highlight w:val="none"/>
              </w:rPr>
              <w:t>企业情况</w:t>
            </w:r>
          </w:p>
        </w:tc>
        <w:tc>
          <w:tcPr>
            <w:tcW w:w="6757" w:type="dxa"/>
            <w:gridSpan w:val="4"/>
            <w:tcBorders>
              <w:top w:val="single" w:color="auto" w:sz="4" w:space="0"/>
              <w:left w:val="single" w:color="auto" w:sz="4" w:space="0"/>
              <w:right w:val="single" w:color="auto" w:sz="4" w:space="0"/>
            </w:tcBorders>
            <w:noWrap w:val="0"/>
            <w:vAlign w:val="center"/>
          </w:tcPr>
          <w:p w14:paraId="0570BCBE">
            <w:pPr>
              <w:pageBreakBefore w:val="0"/>
              <w:kinsoku/>
              <w:wordWrap/>
              <w:overflowPunct/>
              <w:topLinePunct/>
              <w:bidi w:val="0"/>
              <w:jc w:val="left"/>
              <w:textAlignment w:val="auto"/>
              <w:outlineLvl w:val="9"/>
              <w:rPr>
                <w:rFonts w:ascii="宋体" w:hAnsi="Times New Roman"/>
                <w:color w:val="auto"/>
                <w:kern w:val="0"/>
                <w:sz w:val="24"/>
                <w:szCs w:val="20"/>
                <w:highlight w:val="none"/>
              </w:rPr>
            </w:pPr>
            <w:r>
              <w:rPr>
                <w:rFonts w:hint="eastAsia" w:ascii="宋体" w:hAnsi="Times New Roman"/>
                <w:color w:val="auto"/>
                <w:kern w:val="0"/>
                <w:sz w:val="24"/>
                <w:szCs w:val="20"/>
                <w:highlight w:val="none"/>
              </w:rPr>
              <w:t>供应商应提供关联企业情况，包括：</w:t>
            </w:r>
          </w:p>
          <w:p w14:paraId="2F3A1FE9">
            <w:pPr>
              <w:pageBreakBefore w:val="0"/>
              <w:kinsoku/>
              <w:wordWrap/>
              <w:overflowPunct/>
              <w:topLinePunct/>
              <w:bidi w:val="0"/>
              <w:jc w:val="left"/>
              <w:textAlignment w:val="auto"/>
              <w:outlineLvl w:val="9"/>
              <w:rPr>
                <w:rFonts w:hint="eastAsia" w:ascii="宋体" w:hAnsi="Times New Roman"/>
                <w:color w:val="auto"/>
                <w:kern w:val="0"/>
                <w:sz w:val="24"/>
                <w:szCs w:val="20"/>
                <w:highlight w:val="none"/>
              </w:rPr>
            </w:pPr>
            <w:r>
              <w:rPr>
                <w:rFonts w:hint="eastAsia" w:ascii="宋体" w:hAnsi="Times New Roman"/>
                <w:color w:val="auto"/>
                <w:kern w:val="0"/>
                <w:sz w:val="24"/>
                <w:szCs w:val="20"/>
                <w:highlight w:val="none"/>
              </w:rPr>
              <w:t>（1）供应商投资（控股）或管理的下属企业名称、持有股权（出资额）比例；</w:t>
            </w:r>
          </w:p>
          <w:p w14:paraId="18DF81EF">
            <w:pPr>
              <w:pageBreakBefore w:val="0"/>
              <w:kinsoku/>
              <w:wordWrap/>
              <w:overflowPunct/>
              <w:topLinePunct/>
              <w:bidi w:val="0"/>
              <w:jc w:val="left"/>
              <w:textAlignment w:val="auto"/>
              <w:outlineLvl w:val="9"/>
              <w:rPr>
                <w:rFonts w:hint="eastAsia" w:ascii="宋体" w:hAnsi="Times New Roman"/>
                <w:color w:val="auto"/>
                <w:kern w:val="0"/>
                <w:sz w:val="24"/>
                <w:szCs w:val="20"/>
                <w:highlight w:val="none"/>
              </w:rPr>
            </w:pPr>
            <w:r>
              <w:rPr>
                <w:rFonts w:hint="eastAsia" w:ascii="宋体" w:hAnsi="Times New Roman"/>
                <w:color w:val="auto"/>
                <w:kern w:val="0"/>
                <w:sz w:val="24"/>
                <w:szCs w:val="20"/>
                <w:highlight w:val="none"/>
              </w:rPr>
              <w:t>（2）与供应商单位负责人（即法定代表人）为同一人的其他单位名称；</w:t>
            </w:r>
          </w:p>
          <w:p w14:paraId="017A2518">
            <w:pPr>
              <w:pageBreakBefore w:val="0"/>
              <w:kinsoku/>
              <w:wordWrap/>
              <w:overflowPunct/>
              <w:topLinePunct/>
              <w:bidi w:val="0"/>
              <w:jc w:val="left"/>
              <w:textAlignment w:val="auto"/>
              <w:outlineLvl w:val="9"/>
              <w:rPr>
                <w:rFonts w:hint="eastAsia" w:ascii="宋体" w:hAnsi="Times New Roman"/>
                <w:color w:val="auto"/>
                <w:kern w:val="0"/>
                <w:sz w:val="24"/>
                <w:szCs w:val="20"/>
                <w:highlight w:val="none"/>
              </w:rPr>
            </w:pPr>
            <w:r>
              <w:rPr>
                <w:rFonts w:hint="eastAsia" w:ascii="宋体" w:hAnsi="Times New Roman"/>
                <w:color w:val="auto"/>
                <w:kern w:val="0"/>
                <w:sz w:val="24"/>
                <w:szCs w:val="20"/>
                <w:highlight w:val="none"/>
              </w:rPr>
              <w:t>（3）……</w:t>
            </w:r>
          </w:p>
        </w:tc>
      </w:tr>
      <w:tr w14:paraId="1EC85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28D422F0">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备注</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7EFD4C9B">
            <w:pPr>
              <w:pageBreakBefore w:val="0"/>
              <w:kinsoku/>
              <w:wordWrap/>
              <w:overflowPunct/>
              <w:topLinePunct/>
              <w:bidi w:val="0"/>
              <w:spacing w:line="360" w:lineRule="auto"/>
              <w:jc w:val="center"/>
              <w:textAlignment w:val="auto"/>
              <w:outlineLvl w:val="9"/>
              <w:rPr>
                <w:rFonts w:hint="eastAsia" w:ascii="宋体" w:hAnsi="宋体" w:cs="宋体"/>
                <w:color w:val="auto"/>
                <w:kern w:val="0"/>
                <w:sz w:val="24"/>
                <w:szCs w:val="20"/>
                <w:highlight w:val="none"/>
              </w:rPr>
            </w:pPr>
          </w:p>
        </w:tc>
      </w:tr>
    </w:tbl>
    <w:p w14:paraId="14F64490">
      <w:pPr>
        <w:pageBreakBefore w:val="0"/>
        <w:kinsoku/>
        <w:wordWrap/>
        <w:overflowPunct/>
        <w:bidi w:val="0"/>
        <w:spacing w:before="156" w:after="156" w:line="360" w:lineRule="auto"/>
        <w:ind w:firstLine="235" w:firstLineChars="98"/>
        <w:jc w:val="left"/>
        <w:textAlignment w:val="auto"/>
        <w:outlineLvl w:val="9"/>
        <w:rPr>
          <w:rFonts w:hint="eastAsia" w:ascii="宋体" w:cs="宋体"/>
          <w:color w:val="auto"/>
          <w:sz w:val="24"/>
          <w:szCs w:val="28"/>
          <w:highlight w:val="none"/>
        </w:rPr>
      </w:pPr>
      <w:r>
        <w:rPr>
          <w:rFonts w:hint="eastAsia" w:ascii="宋体" w:cs="宋体"/>
          <w:color w:val="auto"/>
          <w:sz w:val="24"/>
          <w:szCs w:val="28"/>
          <w:highlight w:val="none"/>
        </w:rPr>
        <w:t>包括但不限于提供如下文件：</w:t>
      </w:r>
      <w:r>
        <w:rPr>
          <w:rFonts w:hint="eastAsia" w:ascii="宋体" w:cs="宋体"/>
          <w:b/>
          <w:bCs/>
          <w:color w:val="auto"/>
          <w:sz w:val="24"/>
          <w:szCs w:val="28"/>
          <w:highlight w:val="none"/>
        </w:rPr>
        <w:t>营业执照</w:t>
      </w:r>
      <w:r>
        <w:rPr>
          <w:rFonts w:hint="eastAsia" w:ascii="宋体" w:cs="宋体"/>
          <w:color w:val="auto"/>
          <w:sz w:val="24"/>
          <w:szCs w:val="28"/>
          <w:highlight w:val="none"/>
        </w:rPr>
        <w:t>复印件或影印件、询比文件要求及供应商认为需要提供的资料。</w:t>
      </w:r>
    </w:p>
    <w:p w14:paraId="709B8CDC">
      <w:pPr>
        <w:keepNext/>
        <w:keepLines/>
        <w:pageBreakBefore w:val="0"/>
        <w:kinsoku/>
        <w:wordWrap/>
        <w:overflowPunct/>
        <w:bidi w:val="0"/>
        <w:spacing w:before="260" w:after="260" w:line="415" w:lineRule="auto"/>
        <w:jc w:val="center"/>
        <w:textAlignment w:val="auto"/>
        <w:outlineLvl w:val="9"/>
        <w:rPr>
          <w:rFonts w:hint="eastAsia" w:ascii="宋体" w:cs="宋体"/>
          <w:b/>
          <w:bCs/>
          <w:color w:val="auto"/>
          <w:sz w:val="24"/>
          <w:szCs w:val="24"/>
          <w:highlight w:val="none"/>
        </w:rPr>
      </w:pPr>
      <w:r>
        <w:rPr>
          <w:rFonts w:hint="eastAsia" w:ascii="宋体" w:cs="宋体"/>
          <w:b/>
          <w:bCs/>
          <w:color w:val="auto"/>
          <w:sz w:val="24"/>
          <w:szCs w:val="24"/>
          <w:highlight w:val="none"/>
        </w:rPr>
        <w:br w:type="page"/>
      </w:r>
      <w:r>
        <w:rPr>
          <w:rFonts w:hint="eastAsia" w:ascii="宋体" w:cs="宋体"/>
          <w:b/>
          <w:bCs/>
          <w:color w:val="auto"/>
          <w:sz w:val="24"/>
          <w:szCs w:val="24"/>
          <w:highlight w:val="none"/>
          <w:lang w:val="en-US" w:eastAsia="zh-CN"/>
        </w:rPr>
        <w:t>四</w:t>
      </w:r>
      <w:r>
        <w:rPr>
          <w:rFonts w:hint="eastAsia" w:ascii="宋体" w:cs="宋体"/>
          <w:b/>
          <w:bCs/>
          <w:color w:val="auto"/>
          <w:sz w:val="24"/>
          <w:szCs w:val="24"/>
          <w:highlight w:val="none"/>
        </w:rPr>
        <w:t>、供应商资格证明材料</w:t>
      </w:r>
    </w:p>
    <w:p w14:paraId="24B2881D">
      <w:pPr>
        <w:pageBreakBefore w:val="0"/>
        <w:kinsoku/>
        <w:wordWrap/>
        <w:overflowPunct/>
        <w:bidi w:val="0"/>
        <w:spacing w:before="156" w:after="156" w:line="360" w:lineRule="auto"/>
        <w:ind w:firstLine="235" w:firstLineChars="98"/>
        <w:jc w:val="center"/>
        <w:textAlignment w:val="auto"/>
        <w:outlineLvl w:val="9"/>
        <w:rPr>
          <w:rFonts w:hint="eastAsia" w:ascii="宋体" w:cs="宋体"/>
          <w:color w:val="auto"/>
          <w:sz w:val="24"/>
          <w:szCs w:val="28"/>
          <w:highlight w:val="none"/>
        </w:rPr>
      </w:pPr>
      <w:r>
        <w:rPr>
          <w:rFonts w:hint="eastAsia" w:ascii="宋体" w:cs="宋体"/>
          <w:color w:val="auto"/>
          <w:sz w:val="24"/>
          <w:szCs w:val="28"/>
          <w:highlight w:val="none"/>
        </w:rPr>
        <w:t>（供应商可自行制作格式）</w:t>
      </w:r>
    </w:p>
    <w:p w14:paraId="2DCA1818">
      <w:pPr>
        <w:pageBreakBefore w:val="0"/>
        <w:widowControl/>
        <w:kinsoku/>
        <w:wordWrap/>
        <w:overflowPunct/>
        <w:bidi w:val="0"/>
        <w:spacing w:line="360" w:lineRule="auto"/>
        <w:jc w:val="left"/>
        <w:textAlignment w:val="auto"/>
        <w:outlineLvl w:val="9"/>
        <w:rPr>
          <w:rFonts w:hint="eastAsia" w:ascii="宋体" w:cs="宋体"/>
          <w:bCs/>
          <w:color w:val="auto"/>
          <w:sz w:val="24"/>
          <w:highlight w:val="none"/>
        </w:rPr>
      </w:pPr>
      <w:r>
        <w:rPr>
          <w:rFonts w:hint="eastAsia" w:ascii="宋体" w:cs="宋体"/>
          <w:bCs/>
          <w:color w:val="auto"/>
          <w:sz w:val="24"/>
          <w:highlight w:val="none"/>
        </w:rPr>
        <w:t>包括但不限于以下资料：</w:t>
      </w:r>
    </w:p>
    <w:p w14:paraId="68B90117">
      <w:pPr>
        <w:pageBreakBefore w:val="0"/>
        <w:widowControl/>
        <w:kinsoku/>
        <w:wordWrap/>
        <w:overflowPunct/>
        <w:bidi w:val="0"/>
        <w:spacing w:line="360" w:lineRule="auto"/>
        <w:jc w:val="left"/>
        <w:textAlignment w:val="auto"/>
        <w:outlineLvl w:val="9"/>
        <w:rPr>
          <w:rFonts w:hint="eastAsia" w:ascii="宋体" w:cs="宋体"/>
          <w:bCs/>
          <w:color w:val="auto"/>
          <w:sz w:val="24"/>
          <w:highlight w:val="none"/>
        </w:rPr>
      </w:pPr>
      <w:r>
        <w:rPr>
          <w:rFonts w:hint="eastAsia" w:ascii="宋体" w:cs="宋体"/>
          <w:bCs/>
          <w:color w:val="auto"/>
          <w:sz w:val="24"/>
          <w:highlight w:val="none"/>
        </w:rPr>
        <w:t>“</w:t>
      </w:r>
      <w:r>
        <w:rPr>
          <w:rFonts w:hint="eastAsia" w:ascii="宋体" w:cs="宋体"/>
          <w:bCs/>
          <w:color w:val="auto"/>
          <w:sz w:val="24"/>
          <w:highlight w:val="none"/>
          <w:lang w:eastAsia="zh-CN"/>
        </w:rPr>
        <w:t>供应商</w:t>
      </w:r>
      <w:r>
        <w:rPr>
          <w:rFonts w:hint="eastAsia" w:ascii="宋体" w:cs="宋体"/>
          <w:bCs/>
          <w:color w:val="auto"/>
          <w:sz w:val="24"/>
          <w:highlight w:val="none"/>
        </w:rPr>
        <w:t>的资格要求”中约定的内容。</w:t>
      </w:r>
    </w:p>
    <w:p w14:paraId="6C684D32">
      <w:pPr>
        <w:pStyle w:val="10"/>
        <w:pageBreakBefore w:val="0"/>
        <w:kinsoku/>
        <w:wordWrap/>
        <w:overflowPunct/>
        <w:bidi w:val="0"/>
        <w:textAlignment w:val="auto"/>
        <w:outlineLvl w:val="9"/>
        <w:rPr>
          <w:rFonts w:hint="eastAsia"/>
          <w:color w:val="auto"/>
          <w:highlight w:val="none"/>
        </w:rPr>
      </w:pPr>
    </w:p>
    <w:p w14:paraId="7D77F208">
      <w:pPr>
        <w:pageBreakBefore w:val="0"/>
        <w:widowControl/>
        <w:kinsoku/>
        <w:wordWrap/>
        <w:overflowPunct/>
        <w:bidi w:val="0"/>
        <w:jc w:val="left"/>
        <w:textAlignment w:val="auto"/>
        <w:outlineLvl w:val="9"/>
        <w:rPr>
          <w:rFonts w:hint="eastAsia" w:ascii="宋体"/>
          <w:b/>
          <w:color w:val="auto"/>
          <w:sz w:val="24"/>
          <w:highlight w:val="none"/>
        </w:rPr>
      </w:pPr>
      <w:r>
        <w:rPr>
          <w:rFonts w:hint="eastAsia" w:ascii="宋体"/>
          <w:b/>
          <w:color w:val="auto"/>
          <w:sz w:val="24"/>
          <w:highlight w:val="none"/>
        </w:rPr>
        <w:br w:type="page"/>
      </w:r>
    </w:p>
    <w:p w14:paraId="2C1C9AA1">
      <w:pPr>
        <w:pageBreakBefore w:val="0"/>
        <w:kinsoku/>
        <w:wordWrap/>
        <w:overflowPunct/>
        <w:bidi w:val="0"/>
        <w:spacing w:line="360" w:lineRule="auto"/>
        <w:jc w:val="center"/>
        <w:textAlignment w:val="auto"/>
        <w:outlineLvl w:val="9"/>
        <w:rPr>
          <w:rFonts w:hint="eastAsia" w:ascii="宋体"/>
          <w:b/>
          <w:color w:val="auto"/>
          <w:sz w:val="24"/>
          <w:highlight w:val="none"/>
        </w:rPr>
      </w:pPr>
      <w:r>
        <w:rPr>
          <w:rFonts w:hint="eastAsia" w:ascii="宋体"/>
          <w:b/>
          <w:color w:val="auto"/>
          <w:sz w:val="24"/>
          <w:highlight w:val="none"/>
          <w:lang w:val="en-US" w:eastAsia="zh-CN"/>
        </w:rPr>
        <w:t>五</w:t>
      </w:r>
      <w:r>
        <w:rPr>
          <w:rFonts w:hint="eastAsia" w:ascii="宋体"/>
          <w:b/>
          <w:color w:val="auto"/>
          <w:sz w:val="24"/>
          <w:highlight w:val="none"/>
        </w:rPr>
        <w:t>、询比响应函</w:t>
      </w:r>
      <w:bookmarkEnd w:id="50"/>
    </w:p>
    <w:p w14:paraId="0339DB4B">
      <w:pPr>
        <w:pageBreakBefore w:val="0"/>
        <w:kinsoku/>
        <w:wordWrap/>
        <w:overflowPunct/>
        <w:bidi w:val="0"/>
        <w:spacing w:line="360" w:lineRule="auto"/>
        <w:textAlignment w:val="auto"/>
        <w:outlineLvl w:val="9"/>
        <w:rPr>
          <w:rFonts w:hint="eastAsia" w:ascii="宋体" w:eastAsia="宋体" w:cs="宋体"/>
          <w:b/>
          <w:color w:val="auto"/>
          <w:sz w:val="24"/>
          <w:szCs w:val="24"/>
          <w:highlight w:val="none"/>
          <w:u w:val="single"/>
          <w:lang w:eastAsia="zh-CN"/>
        </w:rPr>
      </w:pPr>
      <w:r>
        <w:rPr>
          <w:rFonts w:hint="eastAsia" w:ascii="宋体" w:cs="宋体"/>
          <w:b/>
          <w:color w:val="auto"/>
          <w:sz w:val="24"/>
          <w:szCs w:val="24"/>
          <w:highlight w:val="none"/>
        </w:rPr>
        <w:t>致：</w:t>
      </w:r>
      <w:r>
        <w:rPr>
          <w:rFonts w:hint="eastAsia" w:ascii="宋体" w:cs="宋体"/>
          <w:b/>
          <w:color w:val="auto"/>
          <w:sz w:val="24"/>
          <w:szCs w:val="24"/>
          <w:highlight w:val="none"/>
          <w:u w:val="single"/>
          <w:lang w:eastAsia="zh-CN"/>
        </w:rPr>
        <w:t>安徽环境新安江生态科技有限公司</w:t>
      </w:r>
    </w:p>
    <w:p w14:paraId="7B7FE115">
      <w:pPr>
        <w:pageBreakBefore w:val="0"/>
        <w:kinsoku/>
        <w:wordWrap/>
        <w:overflowPunct/>
        <w:bidi w:val="0"/>
        <w:spacing w:line="360" w:lineRule="auto"/>
        <w:ind w:firstLine="482" w:firstLineChars="200"/>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u w:val="single"/>
        </w:rPr>
        <w:t>安徽广电项目管理有限公司</w:t>
      </w:r>
    </w:p>
    <w:p w14:paraId="75557692">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根据贵方的询比公告和询比邀请，我方兹宣布同意如下：</w:t>
      </w:r>
    </w:p>
    <w:p w14:paraId="2F9959C9">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1.如我公司成交，我公司承诺愿意按询比文件规定缴纳成交服务费。按本次询比文件规定及最后报价承诺供货及安装。</w:t>
      </w:r>
    </w:p>
    <w:p w14:paraId="4C3C4FF9">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2.我方根据本次询比文件的规定，严格履行合同的责任和义务,并保证于买方要求的日期内完成服务，并通过买方验收。</w:t>
      </w:r>
    </w:p>
    <w:p w14:paraId="2CEAD2F4">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3.我方承诺报价低于同类货物和服务的市场平均价格。</w:t>
      </w:r>
    </w:p>
    <w:p w14:paraId="31BBA4FF">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4.我方已详细审核本次询比文件，包括询比文件附件、参考资料、询比文件修改书或图纸（如有），我方正式认可并遵守本次询比文件，并对询比文件各项条款、规定及要求均无异议。我方知道必须放弃提出含糊不清或误解问题的权利。</w:t>
      </w:r>
    </w:p>
    <w:p w14:paraId="3BF2F7E6">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5.我方同意从供应商须知规定的询比日期起遵循本询比文件，并在供应商须知规定的询比有效期之前均具有约束力。</w:t>
      </w:r>
    </w:p>
    <w:p w14:paraId="4262E098">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rPr>
        <w:t>6.我方同意按贵方要求在询比规定时间内向贵方提供与其询比有关的任何证据或补充资料，否则，我方的响应文件可被贵方拒绝。</w:t>
      </w:r>
    </w:p>
    <w:p w14:paraId="2F0CE2D2">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lang w:val="en-US" w:eastAsia="zh-CN"/>
        </w:rPr>
        <w:t>7</w:t>
      </w:r>
      <w:r>
        <w:rPr>
          <w:rFonts w:hint="eastAsia" w:ascii="宋体" w:cs="@仿宋_GB2312"/>
          <w:color w:val="auto"/>
          <w:sz w:val="24"/>
          <w:szCs w:val="24"/>
          <w:highlight w:val="none"/>
        </w:rPr>
        <w:t>.我方完全理解贵方不一定接受最低报价的询比。</w:t>
      </w:r>
    </w:p>
    <w:p w14:paraId="76E9C2B6">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lang w:val="en-US" w:eastAsia="zh-CN"/>
        </w:rPr>
        <w:t>8</w:t>
      </w:r>
      <w:r>
        <w:rPr>
          <w:rFonts w:hint="eastAsia" w:ascii="宋体" w:cs="@仿宋_GB2312"/>
          <w:color w:val="auto"/>
          <w:sz w:val="24"/>
          <w:szCs w:val="24"/>
          <w:highlight w:val="none"/>
        </w:rPr>
        <w:t>.我方同意询比文件规定的付款方式、服务期限。</w:t>
      </w:r>
    </w:p>
    <w:p w14:paraId="66E12CF2">
      <w:pPr>
        <w:pageBreakBefore w:val="0"/>
        <w:kinsoku/>
        <w:wordWrap/>
        <w:overflowPunct/>
        <w:bidi w:val="0"/>
        <w:spacing w:line="360" w:lineRule="auto"/>
        <w:ind w:firstLine="480" w:firstLineChars="200"/>
        <w:textAlignment w:val="auto"/>
        <w:outlineLvl w:val="9"/>
        <w:rPr>
          <w:rFonts w:hint="eastAsia" w:ascii="宋体" w:cs="@仿宋_GB2312"/>
          <w:color w:val="auto"/>
          <w:sz w:val="24"/>
          <w:szCs w:val="24"/>
          <w:highlight w:val="none"/>
        </w:rPr>
      </w:pPr>
      <w:r>
        <w:rPr>
          <w:rFonts w:hint="eastAsia" w:ascii="宋体" w:cs="@仿宋_GB2312"/>
          <w:color w:val="auto"/>
          <w:sz w:val="24"/>
          <w:szCs w:val="24"/>
          <w:highlight w:val="none"/>
          <w:lang w:val="en-US" w:eastAsia="zh-CN"/>
        </w:rPr>
        <w:t>9</w:t>
      </w:r>
      <w:r>
        <w:rPr>
          <w:rFonts w:hint="eastAsia" w:ascii="宋体" w:cs="@仿宋_GB2312"/>
          <w:color w:val="auto"/>
          <w:sz w:val="24"/>
          <w:szCs w:val="24"/>
          <w:highlight w:val="none"/>
        </w:rPr>
        <w:t>.我方对响应文件中所提供资料、文件、证书及证件的真实性和有效性负责。</w:t>
      </w:r>
    </w:p>
    <w:p w14:paraId="0F654CA7">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u w:val="single"/>
        </w:rPr>
      </w:pPr>
      <w:r>
        <w:rPr>
          <w:rFonts w:hint="eastAsia" w:ascii="宋体" w:cs="@仿宋_GB2312"/>
          <w:color w:val="auto"/>
          <w:sz w:val="24"/>
          <w:szCs w:val="24"/>
          <w:highlight w:val="none"/>
        </w:rPr>
        <w:t>1</w:t>
      </w:r>
      <w:r>
        <w:rPr>
          <w:rFonts w:hint="eastAsia" w:ascii="宋体" w:cs="@仿宋_GB2312"/>
          <w:color w:val="auto"/>
          <w:sz w:val="24"/>
          <w:szCs w:val="24"/>
          <w:highlight w:val="none"/>
          <w:lang w:val="en-US" w:eastAsia="zh-CN"/>
        </w:rPr>
        <w:t>0</w:t>
      </w:r>
      <w:r>
        <w:rPr>
          <w:rFonts w:hint="eastAsia" w:ascii="宋体" w:cs="@仿宋_GB2312"/>
          <w:color w:val="auto"/>
          <w:sz w:val="24"/>
          <w:szCs w:val="24"/>
          <w:highlight w:val="none"/>
        </w:rPr>
        <w:t>.</w:t>
      </w:r>
      <w:r>
        <w:rPr>
          <w:rFonts w:hint="eastAsia" w:ascii="宋体" w:cs="宋体"/>
          <w:color w:val="auto"/>
          <w:sz w:val="24"/>
          <w:szCs w:val="24"/>
          <w:highlight w:val="none"/>
        </w:rPr>
        <w:t>其他补充说明：</w:t>
      </w:r>
      <w:r>
        <w:rPr>
          <w:rFonts w:hint="eastAsia" w:ascii="宋体" w:cs="宋体"/>
          <w:color w:val="auto"/>
          <w:sz w:val="24"/>
          <w:szCs w:val="24"/>
          <w:highlight w:val="none"/>
          <w:u w:val="single"/>
        </w:rPr>
        <w:t xml:space="preserve"> </w:t>
      </w:r>
      <w:r>
        <w:rPr>
          <w:rFonts w:hint="eastAsia" w:ascii="宋体" w:cs="宋体"/>
          <w:color w:val="auto"/>
          <w:sz w:val="24"/>
          <w:szCs w:val="24"/>
          <w:highlight w:val="none"/>
          <w:u w:val="single"/>
          <w:lang w:eastAsia="zh-CN"/>
        </w:rPr>
        <w:t>我司符合供应商</w:t>
      </w:r>
      <w:r>
        <w:rPr>
          <w:rFonts w:hint="eastAsia" w:ascii="宋体" w:cs="宋体"/>
          <w:color w:val="auto"/>
          <w:sz w:val="24"/>
          <w:szCs w:val="24"/>
          <w:highlight w:val="none"/>
          <w:u w:val="single"/>
        </w:rPr>
        <w:t xml:space="preserve">的资格要求           </w:t>
      </w:r>
    </w:p>
    <w:p w14:paraId="7667890B">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供应商公章：</w:t>
      </w:r>
      <w:r>
        <w:rPr>
          <w:rFonts w:hint="eastAsia" w:cs="@仿宋_GB2312"/>
          <w:color w:val="auto"/>
          <w:sz w:val="24"/>
          <w:szCs w:val="24"/>
          <w:highlight w:val="none"/>
          <w:u w:val="single"/>
        </w:rPr>
        <w:t xml:space="preserve">     </w:t>
      </w:r>
      <w:r>
        <w:rPr>
          <w:rFonts w:cs="@仿宋_GB2312"/>
          <w:color w:val="auto"/>
          <w:sz w:val="24"/>
          <w:szCs w:val="24"/>
          <w:highlight w:val="none"/>
          <w:u w:val="single"/>
        </w:rPr>
        <w:t xml:space="preserve">    </w:t>
      </w:r>
      <w:r>
        <w:rPr>
          <w:rFonts w:hint="eastAsia" w:cs="@仿宋_GB2312"/>
          <w:color w:val="auto"/>
          <w:sz w:val="24"/>
          <w:szCs w:val="24"/>
          <w:highlight w:val="none"/>
          <w:u w:val="single"/>
        </w:rPr>
        <w:t xml:space="preserve">    </w:t>
      </w:r>
    </w:p>
    <w:p w14:paraId="58BAE816">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 xml:space="preserve">日    </w:t>
      </w:r>
      <w:r>
        <w:rPr>
          <w:rFonts w:cs="@仿宋_GB2312"/>
          <w:color w:val="auto"/>
          <w:sz w:val="24"/>
          <w:szCs w:val="24"/>
          <w:highlight w:val="none"/>
        </w:rPr>
        <w:t xml:space="preserve"> </w:t>
      </w:r>
      <w:r>
        <w:rPr>
          <w:rFonts w:hint="eastAsia" w:cs="@仿宋_GB2312"/>
          <w:color w:val="auto"/>
          <w:sz w:val="24"/>
          <w:szCs w:val="24"/>
          <w:highlight w:val="none"/>
        </w:rPr>
        <w:t xml:space="preserve"> 期：</w:t>
      </w:r>
      <w:r>
        <w:rPr>
          <w:rFonts w:hint="eastAsia" w:cs="@仿宋_GB2312"/>
          <w:color w:val="auto"/>
          <w:sz w:val="24"/>
          <w:szCs w:val="24"/>
          <w:highlight w:val="none"/>
          <w:u w:val="single"/>
        </w:rPr>
        <w:t xml:space="preserve">             </w:t>
      </w:r>
    </w:p>
    <w:p w14:paraId="1B7EFDEB">
      <w:pPr>
        <w:pageBreakBefore w:val="0"/>
        <w:widowControl/>
        <w:kinsoku/>
        <w:wordWrap/>
        <w:overflowPunct/>
        <w:bidi w:val="0"/>
        <w:jc w:val="left"/>
        <w:textAlignment w:val="auto"/>
        <w:outlineLvl w:val="9"/>
        <w:rPr>
          <w:color w:val="auto"/>
          <w:sz w:val="24"/>
          <w:highlight w:val="none"/>
        </w:rPr>
      </w:pPr>
      <w:r>
        <w:rPr>
          <w:color w:val="auto"/>
          <w:sz w:val="24"/>
          <w:highlight w:val="none"/>
        </w:rPr>
        <w:br w:type="page"/>
      </w:r>
    </w:p>
    <w:p w14:paraId="137727F6">
      <w:pPr>
        <w:pageBreakBefore w:val="0"/>
        <w:kinsoku/>
        <w:wordWrap/>
        <w:overflowPunct/>
        <w:bidi w:val="0"/>
        <w:spacing w:line="360" w:lineRule="auto"/>
        <w:jc w:val="center"/>
        <w:textAlignment w:val="auto"/>
        <w:outlineLvl w:val="9"/>
        <w:rPr>
          <w:rFonts w:hint="eastAsia" w:ascii="宋体"/>
          <w:b/>
          <w:color w:val="auto"/>
          <w:sz w:val="24"/>
          <w:highlight w:val="none"/>
        </w:rPr>
      </w:pPr>
      <w:r>
        <w:rPr>
          <w:rFonts w:hint="eastAsia" w:ascii="宋体"/>
          <w:b/>
          <w:color w:val="auto"/>
          <w:sz w:val="24"/>
          <w:highlight w:val="none"/>
          <w:lang w:val="en-US" w:eastAsia="zh-CN"/>
        </w:rPr>
        <w:t>六</w:t>
      </w:r>
      <w:r>
        <w:rPr>
          <w:rFonts w:hint="eastAsia" w:ascii="宋体"/>
          <w:b/>
          <w:color w:val="auto"/>
          <w:sz w:val="24"/>
          <w:highlight w:val="none"/>
        </w:rPr>
        <w:t>、无重大违法记录声明函、无不良信用记录声明函</w:t>
      </w:r>
    </w:p>
    <w:p w14:paraId="6E484E6C">
      <w:pPr>
        <w:pageBreakBefore w:val="0"/>
        <w:kinsoku/>
        <w:wordWrap/>
        <w:overflowPunct/>
        <w:bidi w:val="0"/>
        <w:spacing w:line="440" w:lineRule="exact"/>
        <w:ind w:firstLine="435"/>
        <w:jc w:val="center"/>
        <w:textAlignment w:val="auto"/>
        <w:outlineLvl w:val="9"/>
        <w:rPr>
          <w:rFonts w:hint="eastAsia"/>
          <w:b/>
          <w:bCs/>
          <w:color w:val="auto"/>
          <w:sz w:val="24"/>
          <w:szCs w:val="24"/>
          <w:highlight w:val="none"/>
        </w:rPr>
      </w:pPr>
      <w:r>
        <w:rPr>
          <w:rFonts w:hint="eastAsia"/>
          <w:b/>
          <w:bCs/>
          <w:color w:val="auto"/>
          <w:sz w:val="24"/>
          <w:szCs w:val="24"/>
          <w:highlight w:val="none"/>
        </w:rPr>
        <w:t>（联合体参加询比的，联合体双方均须提供）</w:t>
      </w:r>
    </w:p>
    <w:p w14:paraId="1499E89A">
      <w:pPr>
        <w:pageBreakBefore w:val="0"/>
        <w:kinsoku/>
        <w:wordWrap/>
        <w:overflowPunct/>
        <w:bidi w:val="0"/>
        <w:spacing w:line="440" w:lineRule="exact"/>
        <w:ind w:firstLine="435"/>
        <w:textAlignment w:val="auto"/>
        <w:outlineLvl w:val="9"/>
        <w:rPr>
          <w:color w:val="auto"/>
          <w:sz w:val="24"/>
          <w:szCs w:val="24"/>
          <w:highlight w:val="none"/>
        </w:rPr>
      </w:pPr>
      <w:r>
        <w:rPr>
          <w:rFonts w:hint="eastAsia"/>
          <w:color w:val="auto"/>
          <w:sz w:val="24"/>
          <w:szCs w:val="24"/>
          <w:highlight w:val="none"/>
        </w:rPr>
        <w:t>1.本单位郑重声明，根据</w:t>
      </w:r>
      <w:r>
        <w:rPr>
          <w:rFonts w:hint="eastAsia" w:ascii="宋体" w:cs="宋体"/>
          <w:color w:val="auto"/>
          <w:sz w:val="24"/>
          <w:szCs w:val="24"/>
          <w:highlight w:val="none"/>
        </w:rPr>
        <w:t>采购人采购有关规定及本项目询比文件</w:t>
      </w:r>
      <w:r>
        <w:rPr>
          <w:rFonts w:hint="eastAsia"/>
          <w:color w:val="auto"/>
          <w:sz w:val="24"/>
          <w:szCs w:val="24"/>
          <w:highlight w:val="none"/>
        </w:rPr>
        <w:t>的约定，参加本采购活动前三年内，本单位在经营活动中没有重大违法记录，没有因违法经营受到刑事处罚或者责令停产停业、吊销许可证或者执照、较大数额罚款等行政处罚，且未在被禁止参加采购活动的处罚期限内。</w:t>
      </w:r>
    </w:p>
    <w:p w14:paraId="37BD8DFD">
      <w:pPr>
        <w:pageBreakBefore w:val="0"/>
        <w:kinsoku/>
        <w:wordWrap/>
        <w:overflowPunct/>
        <w:bidi w:val="0"/>
        <w:spacing w:line="440" w:lineRule="exact"/>
        <w:ind w:firstLine="435"/>
        <w:textAlignment w:val="auto"/>
        <w:outlineLvl w:val="9"/>
        <w:rPr>
          <w:rFonts w:hint="eastAsia" w:ascii="宋体"/>
          <w:color w:val="auto"/>
          <w:sz w:val="24"/>
          <w:szCs w:val="24"/>
          <w:highlight w:val="none"/>
        </w:rPr>
      </w:pPr>
      <w:r>
        <w:rPr>
          <w:rFonts w:hint="eastAsia"/>
          <w:color w:val="auto"/>
          <w:sz w:val="24"/>
          <w:szCs w:val="24"/>
          <w:highlight w:val="none"/>
        </w:rPr>
        <w:t>2</w:t>
      </w:r>
      <w:r>
        <w:rPr>
          <w:rFonts w:hint="eastAsia" w:ascii="宋体"/>
          <w:color w:val="auto"/>
          <w:sz w:val="24"/>
          <w:szCs w:val="24"/>
          <w:highlight w:val="none"/>
        </w:rPr>
        <w:t>.本单位郑重声明，我单位无以下不良信用记录情形：</w:t>
      </w:r>
    </w:p>
    <w:p w14:paraId="4E6E03A3">
      <w:pPr>
        <w:pageBreakBefore w:val="0"/>
        <w:kinsoku/>
        <w:wordWrap/>
        <w:overflowPunct/>
        <w:bidi w:val="0"/>
        <w:spacing w:line="440" w:lineRule="exact"/>
        <w:ind w:firstLine="435"/>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（1）供应商被人民法院列入失信被执行人的；</w:t>
      </w:r>
    </w:p>
    <w:p w14:paraId="74190394">
      <w:pPr>
        <w:pageBreakBefore w:val="0"/>
        <w:kinsoku/>
        <w:wordWrap/>
        <w:overflowPunct/>
        <w:bidi w:val="0"/>
        <w:spacing w:line="440" w:lineRule="exact"/>
        <w:ind w:firstLine="435"/>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（2）供应商被税务部门列入重大税收违法失信主体的；</w:t>
      </w:r>
    </w:p>
    <w:p w14:paraId="4150E054">
      <w:pPr>
        <w:pageBreakBefore w:val="0"/>
        <w:kinsoku/>
        <w:wordWrap/>
        <w:overflowPunct/>
        <w:bidi w:val="0"/>
        <w:spacing w:line="440" w:lineRule="exact"/>
        <w:ind w:firstLine="435"/>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（3）供应商被政府采购监管部门列入严重违法失信行为记录名单的。</w:t>
      </w:r>
    </w:p>
    <w:p w14:paraId="3EB9E664">
      <w:pPr>
        <w:pageBreakBefore w:val="0"/>
        <w:kinsoku/>
        <w:wordWrap/>
        <w:overflowPunct/>
        <w:bidi w:val="0"/>
        <w:spacing w:line="440" w:lineRule="exact"/>
        <w:ind w:firstLine="435"/>
        <w:textAlignment w:val="auto"/>
        <w:outlineLvl w:val="9"/>
        <w:rPr>
          <w:color w:val="auto"/>
          <w:sz w:val="24"/>
          <w:szCs w:val="24"/>
          <w:highlight w:val="none"/>
          <w:u w:val="single"/>
        </w:rPr>
      </w:pPr>
      <w:r>
        <w:rPr>
          <w:rFonts w:hint="eastAsia"/>
          <w:color w:val="auto"/>
          <w:sz w:val="24"/>
          <w:szCs w:val="24"/>
          <w:highlight w:val="none"/>
        </w:rPr>
        <w:t>3.</w:t>
      </w:r>
      <w:r>
        <w:rPr>
          <w:rFonts w:hint="eastAsia" w:ascii="宋体"/>
          <w:color w:val="auto"/>
          <w:sz w:val="24"/>
          <w:szCs w:val="28"/>
          <w:highlight w:val="none"/>
        </w:rPr>
        <w:t xml:space="preserve"> 供应商不存在供应商</w:t>
      </w:r>
      <w:r>
        <w:rPr>
          <w:rFonts w:hint="eastAsia" w:ascii="宋体"/>
          <w:color w:val="auto"/>
          <w:sz w:val="24"/>
          <w:highlight w:val="none"/>
        </w:rPr>
        <w:t>须知第19.3.1.1条</w:t>
      </w:r>
      <w:r>
        <w:rPr>
          <w:rFonts w:hint="eastAsia" w:ascii="宋体"/>
          <w:color w:val="auto"/>
          <w:sz w:val="24"/>
          <w:szCs w:val="28"/>
          <w:highlight w:val="none"/>
        </w:rPr>
        <w:t>中的</w:t>
      </w:r>
      <w:r>
        <w:rPr>
          <w:rFonts w:hint="eastAsia" w:ascii="宋体"/>
          <w:color w:val="auto"/>
          <w:sz w:val="24"/>
          <w:szCs w:val="18"/>
          <w:highlight w:val="none"/>
        </w:rPr>
        <w:t>不良信用记录情形</w:t>
      </w:r>
    </w:p>
    <w:p w14:paraId="0BBDE8A2">
      <w:pPr>
        <w:pageBreakBefore w:val="0"/>
        <w:kinsoku/>
        <w:wordWrap/>
        <w:overflowPunct/>
        <w:bidi w:val="0"/>
        <w:spacing w:line="440" w:lineRule="exact"/>
        <w:ind w:firstLine="435"/>
        <w:textAlignment w:val="auto"/>
        <w:outlineLvl w:val="9"/>
        <w:rPr>
          <w:color w:val="auto"/>
          <w:sz w:val="24"/>
          <w:szCs w:val="24"/>
          <w:highlight w:val="none"/>
        </w:rPr>
      </w:pPr>
      <w:r>
        <w:rPr>
          <w:rFonts w:hint="eastAsia"/>
          <w:color w:val="auto"/>
          <w:sz w:val="24"/>
          <w:szCs w:val="24"/>
          <w:highlight w:val="none"/>
        </w:rPr>
        <w:t>本单位对</w:t>
      </w:r>
      <w:r>
        <w:rPr>
          <w:rFonts w:hint="eastAsia" w:ascii="宋体"/>
          <w:color w:val="auto"/>
          <w:sz w:val="24"/>
          <w:szCs w:val="24"/>
          <w:highlight w:val="none"/>
        </w:rPr>
        <w:t>上述</w:t>
      </w:r>
      <w:r>
        <w:rPr>
          <w:rFonts w:hint="eastAsia"/>
          <w:color w:val="auto"/>
          <w:sz w:val="24"/>
          <w:szCs w:val="24"/>
          <w:highlight w:val="none"/>
        </w:rPr>
        <w:t>声明的真实性负责。如有虚假，将依法承担相应责任。</w:t>
      </w:r>
    </w:p>
    <w:p w14:paraId="150DF33E">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供应商公章：</w:t>
      </w:r>
      <w:r>
        <w:rPr>
          <w:rFonts w:hint="eastAsia" w:cs="@仿宋_GB2312"/>
          <w:color w:val="auto"/>
          <w:sz w:val="24"/>
          <w:szCs w:val="24"/>
          <w:highlight w:val="none"/>
          <w:u w:val="single"/>
        </w:rPr>
        <w:t xml:space="preserve">     </w:t>
      </w:r>
      <w:r>
        <w:rPr>
          <w:rFonts w:cs="@仿宋_GB2312"/>
          <w:color w:val="auto"/>
          <w:sz w:val="24"/>
          <w:szCs w:val="24"/>
          <w:highlight w:val="none"/>
          <w:u w:val="single"/>
        </w:rPr>
        <w:t xml:space="preserve">    </w:t>
      </w:r>
      <w:r>
        <w:rPr>
          <w:rFonts w:hint="eastAsia" w:cs="@仿宋_GB2312"/>
          <w:color w:val="auto"/>
          <w:sz w:val="24"/>
          <w:szCs w:val="24"/>
          <w:highlight w:val="none"/>
          <w:u w:val="single"/>
        </w:rPr>
        <w:t xml:space="preserve">      </w:t>
      </w:r>
    </w:p>
    <w:p w14:paraId="25B4D67F">
      <w:pPr>
        <w:pageBreakBefore w:val="0"/>
        <w:kinsoku/>
        <w:wordWrap/>
        <w:overflowPunct/>
        <w:bidi w:val="0"/>
        <w:spacing w:line="440" w:lineRule="exact"/>
        <w:ind w:firstLine="4418" w:firstLineChars="1841"/>
        <w:textAlignment w:val="auto"/>
        <w:outlineLvl w:val="9"/>
        <w:rPr>
          <w:rFonts w:hint="eastAsia" w:cs="@仿宋_GB2312"/>
          <w:color w:val="auto"/>
          <w:sz w:val="24"/>
          <w:szCs w:val="24"/>
          <w:highlight w:val="none"/>
          <w:u w:val="single"/>
        </w:rPr>
      </w:pPr>
      <w:r>
        <w:rPr>
          <w:rFonts w:hint="eastAsia" w:cs="@仿宋_GB2312"/>
          <w:color w:val="auto"/>
          <w:sz w:val="24"/>
          <w:szCs w:val="24"/>
          <w:highlight w:val="none"/>
        </w:rPr>
        <w:t xml:space="preserve">日    </w:t>
      </w:r>
      <w:r>
        <w:rPr>
          <w:rFonts w:cs="@仿宋_GB2312"/>
          <w:color w:val="auto"/>
          <w:sz w:val="24"/>
          <w:szCs w:val="24"/>
          <w:highlight w:val="none"/>
        </w:rPr>
        <w:t xml:space="preserve"> </w:t>
      </w:r>
      <w:r>
        <w:rPr>
          <w:rFonts w:hint="eastAsia" w:cs="@仿宋_GB2312"/>
          <w:color w:val="auto"/>
          <w:sz w:val="24"/>
          <w:szCs w:val="24"/>
          <w:highlight w:val="none"/>
        </w:rPr>
        <w:t xml:space="preserve"> 期：</w:t>
      </w:r>
      <w:r>
        <w:rPr>
          <w:rFonts w:hint="eastAsia" w:cs="@仿宋_GB2312"/>
          <w:color w:val="auto"/>
          <w:sz w:val="24"/>
          <w:szCs w:val="24"/>
          <w:highlight w:val="none"/>
          <w:u w:val="single"/>
        </w:rPr>
        <w:t xml:space="preserve">               </w:t>
      </w:r>
    </w:p>
    <w:p w14:paraId="7C949AE1">
      <w:pPr>
        <w:pageBreakBefore w:val="0"/>
        <w:kinsoku/>
        <w:wordWrap/>
        <w:overflowPunct/>
        <w:bidi w:val="0"/>
        <w:spacing w:line="440" w:lineRule="exact"/>
        <w:ind w:firstLine="4418" w:firstLineChars="1841"/>
        <w:textAlignment w:val="auto"/>
        <w:outlineLvl w:val="9"/>
        <w:rPr>
          <w:rFonts w:hint="eastAsia" w:cs="@仿宋_GB2312"/>
          <w:color w:val="auto"/>
          <w:sz w:val="24"/>
          <w:szCs w:val="24"/>
          <w:highlight w:val="none"/>
          <w:u w:val="single"/>
        </w:rPr>
      </w:pPr>
    </w:p>
    <w:p w14:paraId="43934F71">
      <w:pPr>
        <w:pageBreakBefore w:val="0"/>
        <w:widowControl/>
        <w:kinsoku/>
        <w:wordWrap/>
        <w:overflowPunct/>
        <w:bidi w:val="0"/>
        <w:spacing w:line="360" w:lineRule="auto"/>
        <w:textAlignment w:val="auto"/>
        <w:outlineLvl w:val="9"/>
        <w:rPr>
          <w:rFonts w:hint="eastAsia" w:ascii="宋体" w:hAnsi="宋体" w:cs="宋体"/>
          <w:bCs/>
          <w:i/>
          <w:color w:val="auto"/>
          <w:kern w:val="0"/>
          <w:sz w:val="24"/>
          <w:szCs w:val="24"/>
          <w:highlight w:val="none"/>
          <w:lang w:bidi="ar"/>
        </w:rPr>
      </w:pPr>
    </w:p>
    <w:p w14:paraId="54C4EC50">
      <w:pPr>
        <w:pageBreakBefore w:val="0"/>
        <w:kinsoku/>
        <w:wordWrap/>
        <w:overflowPunct/>
        <w:bidi w:val="0"/>
        <w:textAlignment w:val="auto"/>
        <w:outlineLvl w:val="9"/>
        <w:rPr>
          <w:rFonts w:hint="eastAsia" w:cs="@仿宋_GB2312"/>
          <w:color w:val="auto"/>
          <w:sz w:val="24"/>
          <w:szCs w:val="24"/>
          <w:highlight w:val="none"/>
        </w:rPr>
      </w:pPr>
    </w:p>
    <w:p w14:paraId="6F7153FB">
      <w:pPr>
        <w:pageBreakBefore w:val="0"/>
        <w:widowControl/>
        <w:kinsoku/>
        <w:wordWrap/>
        <w:overflowPunct/>
        <w:bidi w:val="0"/>
        <w:jc w:val="left"/>
        <w:textAlignment w:val="auto"/>
        <w:outlineLvl w:val="9"/>
        <w:rPr>
          <w:color w:val="auto"/>
          <w:sz w:val="24"/>
          <w:highlight w:val="none"/>
        </w:rPr>
      </w:pPr>
    </w:p>
    <w:p w14:paraId="55B29099">
      <w:pPr>
        <w:pageBreakBefore w:val="0"/>
        <w:kinsoku/>
        <w:wordWrap/>
        <w:overflowPunct/>
        <w:bidi w:val="0"/>
        <w:spacing w:line="360" w:lineRule="auto"/>
        <w:jc w:val="center"/>
        <w:textAlignment w:val="auto"/>
        <w:outlineLvl w:val="9"/>
        <w:rPr>
          <w:rFonts w:hint="eastAsia" w:ascii="宋体"/>
          <w:b/>
          <w:color w:val="auto"/>
          <w:sz w:val="24"/>
          <w:highlight w:val="none"/>
        </w:rPr>
      </w:pPr>
      <w:bookmarkStart w:id="51" w:name="_Toc516969106"/>
      <w:bookmarkStart w:id="52" w:name="_Toc121626298"/>
      <w:bookmarkStart w:id="53" w:name="_Toc520983594"/>
      <w:bookmarkStart w:id="54" w:name="_Toc204594911"/>
      <w:r>
        <w:rPr>
          <w:rFonts w:ascii="宋体"/>
          <w:b/>
          <w:color w:val="auto"/>
          <w:sz w:val="24"/>
          <w:highlight w:val="none"/>
        </w:rPr>
        <w:br w:type="page"/>
      </w:r>
      <w:r>
        <w:rPr>
          <w:rFonts w:hint="eastAsia" w:ascii="宋体"/>
          <w:b/>
          <w:color w:val="auto"/>
          <w:sz w:val="24"/>
          <w:highlight w:val="none"/>
          <w:lang w:val="en-US" w:eastAsia="zh-CN"/>
        </w:rPr>
        <w:t>七</w:t>
      </w:r>
      <w:r>
        <w:rPr>
          <w:rFonts w:hint="eastAsia" w:ascii="宋体"/>
          <w:b/>
          <w:color w:val="auto"/>
          <w:sz w:val="24"/>
          <w:highlight w:val="none"/>
        </w:rPr>
        <w:t>、授权书</w:t>
      </w:r>
      <w:bookmarkEnd w:id="51"/>
      <w:bookmarkEnd w:id="52"/>
      <w:bookmarkEnd w:id="53"/>
      <w:bookmarkEnd w:id="54"/>
    </w:p>
    <w:p w14:paraId="74724E39">
      <w:pPr>
        <w:pageBreakBefore w:val="0"/>
        <w:kinsoku/>
        <w:wordWrap/>
        <w:overflowPunct/>
        <w:bidi w:val="0"/>
        <w:spacing w:line="480" w:lineRule="auto"/>
        <w:jc w:val="center"/>
        <w:textAlignment w:val="auto"/>
        <w:outlineLvl w:val="9"/>
        <w:rPr>
          <w:rFonts w:hint="eastAsia" w:ascii="宋体"/>
          <w:b/>
          <w:color w:val="auto"/>
          <w:sz w:val="24"/>
          <w:highlight w:val="none"/>
        </w:rPr>
      </w:pPr>
      <w:r>
        <w:rPr>
          <w:rFonts w:hint="eastAsia" w:ascii="宋体"/>
          <w:b/>
          <w:color w:val="auto"/>
          <w:sz w:val="24"/>
          <w:highlight w:val="none"/>
        </w:rPr>
        <w:t>1.授权书</w:t>
      </w:r>
    </w:p>
    <w:p w14:paraId="2E3DF462">
      <w:pPr>
        <w:pStyle w:val="9"/>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本授权书声明：</w:t>
      </w:r>
      <w:r>
        <w:rPr>
          <w:rFonts w:hint="eastAsia"/>
          <w:color w:val="auto"/>
          <w:sz w:val="24"/>
          <w:szCs w:val="28"/>
          <w:highlight w:val="none"/>
          <w:u w:val="single"/>
        </w:rPr>
        <w:t xml:space="preserve">           </w:t>
      </w:r>
      <w:r>
        <w:rPr>
          <w:rFonts w:hint="eastAsia"/>
          <w:color w:val="auto"/>
          <w:sz w:val="24"/>
          <w:szCs w:val="28"/>
          <w:highlight w:val="none"/>
        </w:rPr>
        <w:t>（供应商名称）授权</w:t>
      </w:r>
      <w:r>
        <w:rPr>
          <w:rFonts w:hint="eastAsia"/>
          <w:color w:val="auto"/>
          <w:sz w:val="24"/>
          <w:szCs w:val="28"/>
          <w:highlight w:val="none"/>
          <w:u w:val="single"/>
        </w:rPr>
        <w:t xml:space="preserve">       </w:t>
      </w:r>
      <w:r>
        <w:rPr>
          <w:rFonts w:hint="eastAsia"/>
          <w:color w:val="auto"/>
          <w:sz w:val="24"/>
          <w:szCs w:val="28"/>
          <w:highlight w:val="none"/>
        </w:rPr>
        <w:t>（供应商授权代表姓名、职务）代表我方参加本项目</w:t>
      </w:r>
      <w:r>
        <w:rPr>
          <w:rFonts w:hint="eastAsia"/>
          <w:bCs/>
          <w:color w:val="auto"/>
          <w:sz w:val="24"/>
          <w:szCs w:val="28"/>
          <w:highlight w:val="none"/>
        </w:rPr>
        <w:t>采购活动</w:t>
      </w:r>
      <w:r>
        <w:rPr>
          <w:rFonts w:hint="eastAsia"/>
          <w:color w:val="auto"/>
          <w:sz w:val="24"/>
          <w:szCs w:val="28"/>
          <w:highlight w:val="none"/>
        </w:rPr>
        <w:t>，全权代表我方处理询比过程的一切事宜，包括但不限于：提交响应文件、参与询比、签约等。供应商授权代表在采购活动过程中所签署的一切文件和处理与之有关的一切事务，本公司均予以认可并对此承担责任。供应商授权代表无转委托权。特此授权。</w:t>
      </w:r>
    </w:p>
    <w:p w14:paraId="408DC9AF">
      <w:pPr>
        <w:pStyle w:val="9"/>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本授权书自出具之日起生效。</w:t>
      </w:r>
    </w:p>
    <w:p w14:paraId="78BA407B">
      <w:pPr>
        <w:pStyle w:val="9"/>
        <w:pageBreakBefore w:val="0"/>
        <w:kinsoku/>
        <w:wordWrap/>
        <w:overflowPunct/>
        <w:bidi w:val="0"/>
        <w:snapToGrid w:val="0"/>
        <w:spacing w:line="360" w:lineRule="auto"/>
        <w:ind w:firstLine="482" w:firstLineChars="200"/>
        <w:jc w:val="left"/>
        <w:textAlignment w:val="auto"/>
        <w:outlineLvl w:val="9"/>
        <w:rPr>
          <w:b/>
          <w:bCs/>
          <w:color w:val="auto"/>
          <w:sz w:val="24"/>
          <w:highlight w:val="none"/>
        </w:rPr>
      </w:pPr>
      <w:r>
        <w:rPr>
          <w:rFonts w:hint="eastAsia"/>
          <w:b/>
          <w:bCs/>
          <w:color w:val="auto"/>
          <w:sz w:val="24"/>
          <w:szCs w:val="28"/>
          <w:highlight w:val="none"/>
        </w:rPr>
        <w:t>授权代表</w:t>
      </w:r>
      <w:r>
        <w:rPr>
          <w:rFonts w:hint="eastAsia"/>
          <w:b/>
          <w:bCs/>
          <w:color w:val="auto"/>
          <w:sz w:val="24"/>
          <w:highlight w:val="none"/>
        </w:rPr>
        <w:t>身份证明扫描件或影印件：</w:t>
      </w:r>
    </w:p>
    <w:p w14:paraId="4E6C60BB">
      <w:pPr>
        <w:pStyle w:val="9"/>
        <w:pageBreakBefore w:val="0"/>
        <w:kinsoku/>
        <w:wordWrap/>
        <w:overflowPunct/>
        <w:bidi w:val="0"/>
        <w:snapToGrid w:val="0"/>
        <w:spacing w:line="360" w:lineRule="auto"/>
        <w:ind w:firstLine="480" w:firstLineChars="200"/>
        <w:jc w:val="left"/>
        <w:textAlignment w:val="auto"/>
        <w:outlineLvl w:val="9"/>
        <w:rPr>
          <w:color w:val="auto"/>
          <w:sz w:val="24"/>
          <w:highlight w:val="none"/>
        </w:rPr>
      </w:pPr>
    </w:p>
    <w:p w14:paraId="07339997">
      <w:pPr>
        <w:pStyle w:val="9"/>
        <w:pageBreakBefore w:val="0"/>
        <w:kinsoku/>
        <w:wordWrap/>
        <w:overflowPunct/>
        <w:bidi w:val="0"/>
        <w:snapToGrid w:val="0"/>
        <w:spacing w:line="360" w:lineRule="auto"/>
        <w:ind w:firstLine="480" w:firstLineChars="200"/>
        <w:jc w:val="left"/>
        <w:textAlignment w:val="auto"/>
        <w:outlineLvl w:val="9"/>
        <w:rPr>
          <w:color w:val="auto"/>
          <w:sz w:val="24"/>
          <w:highlight w:val="none"/>
        </w:rPr>
      </w:pPr>
    </w:p>
    <w:p w14:paraId="7F09349D">
      <w:pPr>
        <w:pStyle w:val="9"/>
        <w:pageBreakBefore w:val="0"/>
        <w:kinsoku/>
        <w:wordWrap/>
        <w:overflowPunct/>
        <w:bidi w:val="0"/>
        <w:snapToGrid w:val="0"/>
        <w:spacing w:line="360" w:lineRule="auto"/>
        <w:ind w:firstLine="480" w:firstLineChars="200"/>
        <w:jc w:val="left"/>
        <w:textAlignment w:val="auto"/>
        <w:outlineLvl w:val="9"/>
        <w:rPr>
          <w:color w:val="auto"/>
          <w:sz w:val="24"/>
          <w:highlight w:val="none"/>
        </w:rPr>
      </w:pPr>
    </w:p>
    <w:p w14:paraId="2A2D562A">
      <w:pPr>
        <w:pStyle w:val="9"/>
        <w:pageBreakBefore w:val="0"/>
        <w:kinsoku/>
        <w:wordWrap/>
        <w:overflowPunct/>
        <w:bidi w:val="0"/>
        <w:snapToGrid w:val="0"/>
        <w:spacing w:line="360" w:lineRule="auto"/>
        <w:ind w:firstLine="480" w:firstLineChars="200"/>
        <w:jc w:val="left"/>
        <w:textAlignment w:val="auto"/>
        <w:outlineLvl w:val="9"/>
        <w:rPr>
          <w:color w:val="auto"/>
          <w:sz w:val="24"/>
          <w:highlight w:val="none"/>
        </w:rPr>
      </w:pPr>
    </w:p>
    <w:p w14:paraId="7786D58D">
      <w:pPr>
        <w:pStyle w:val="9"/>
        <w:pageBreakBefore w:val="0"/>
        <w:kinsoku/>
        <w:wordWrap/>
        <w:overflowPunct/>
        <w:bidi w:val="0"/>
        <w:snapToGrid w:val="0"/>
        <w:spacing w:line="360" w:lineRule="auto"/>
        <w:ind w:firstLine="480" w:firstLineChars="200"/>
        <w:jc w:val="left"/>
        <w:textAlignment w:val="auto"/>
        <w:outlineLvl w:val="9"/>
        <w:rPr>
          <w:color w:val="auto"/>
          <w:sz w:val="24"/>
          <w:szCs w:val="28"/>
          <w:highlight w:val="none"/>
          <w:u w:val="single"/>
        </w:rPr>
      </w:pPr>
      <w:r>
        <w:rPr>
          <w:rFonts w:hint="eastAsia"/>
          <w:color w:val="auto"/>
          <w:sz w:val="24"/>
          <w:szCs w:val="28"/>
          <w:highlight w:val="none"/>
        </w:rPr>
        <w:t>授权代表联系方式：</w:t>
      </w:r>
      <w:r>
        <w:rPr>
          <w:rFonts w:hint="eastAsia"/>
          <w:color w:val="auto"/>
          <w:sz w:val="24"/>
          <w:szCs w:val="28"/>
          <w:highlight w:val="none"/>
          <w:u w:val="single"/>
        </w:rPr>
        <w:t xml:space="preserve">          （请填写手机号码）</w:t>
      </w:r>
    </w:p>
    <w:p w14:paraId="2CF91D38">
      <w:pPr>
        <w:pStyle w:val="9"/>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p>
    <w:p w14:paraId="3E65E86F">
      <w:pPr>
        <w:pageBreakBefore w:val="0"/>
        <w:kinsoku/>
        <w:wordWrap/>
        <w:overflowPunct/>
        <w:bidi w:val="0"/>
        <w:spacing w:line="360" w:lineRule="auto"/>
        <w:ind w:firstLine="360" w:firstLineChars="150"/>
        <w:textAlignment w:val="auto"/>
        <w:outlineLvl w:val="9"/>
        <w:rPr>
          <w:color w:val="auto"/>
          <w:sz w:val="24"/>
          <w:szCs w:val="28"/>
          <w:highlight w:val="none"/>
        </w:rPr>
      </w:pPr>
      <w:r>
        <w:rPr>
          <w:rFonts w:hint="eastAsia"/>
          <w:color w:val="auto"/>
          <w:sz w:val="24"/>
          <w:szCs w:val="28"/>
          <w:highlight w:val="none"/>
        </w:rPr>
        <w:t>特此声明。</w:t>
      </w:r>
    </w:p>
    <w:p w14:paraId="5FB8AE14">
      <w:pPr>
        <w:pageBreakBefore w:val="0"/>
        <w:kinsoku/>
        <w:wordWrap/>
        <w:overflowPunct/>
        <w:bidi w:val="0"/>
        <w:spacing w:line="360" w:lineRule="auto"/>
        <w:textAlignment w:val="auto"/>
        <w:outlineLvl w:val="9"/>
        <w:rPr>
          <w:color w:val="auto"/>
          <w:sz w:val="24"/>
          <w:szCs w:val="28"/>
          <w:highlight w:val="none"/>
        </w:rPr>
      </w:pPr>
    </w:p>
    <w:p w14:paraId="66C5888A">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供应商公章：</w:t>
      </w:r>
      <w:r>
        <w:rPr>
          <w:rFonts w:hint="eastAsia" w:cs="@仿宋_GB2312"/>
          <w:color w:val="auto"/>
          <w:sz w:val="24"/>
          <w:szCs w:val="24"/>
          <w:highlight w:val="none"/>
          <w:u w:val="single"/>
        </w:rPr>
        <w:t xml:space="preserve">     </w:t>
      </w:r>
      <w:r>
        <w:rPr>
          <w:rFonts w:cs="@仿宋_GB2312"/>
          <w:color w:val="auto"/>
          <w:sz w:val="24"/>
          <w:szCs w:val="24"/>
          <w:highlight w:val="none"/>
          <w:u w:val="single"/>
        </w:rPr>
        <w:t xml:space="preserve">    </w:t>
      </w:r>
      <w:r>
        <w:rPr>
          <w:rFonts w:hint="eastAsia" w:cs="@仿宋_GB2312"/>
          <w:color w:val="auto"/>
          <w:sz w:val="24"/>
          <w:szCs w:val="24"/>
          <w:highlight w:val="none"/>
          <w:u w:val="single"/>
        </w:rPr>
        <w:t xml:space="preserve">    </w:t>
      </w:r>
    </w:p>
    <w:p w14:paraId="75CFE08D">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 xml:space="preserve">日    </w:t>
      </w:r>
      <w:r>
        <w:rPr>
          <w:rFonts w:cs="@仿宋_GB2312"/>
          <w:color w:val="auto"/>
          <w:sz w:val="24"/>
          <w:szCs w:val="24"/>
          <w:highlight w:val="none"/>
        </w:rPr>
        <w:t xml:space="preserve"> </w:t>
      </w:r>
      <w:r>
        <w:rPr>
          <w:rFonts w:hint="eastAsia" w:cs="@仿宋_GB2312"/>
          <w:color w:val="auto"/>
          <w:sz w:val="24"/>
          <w:szCs w:val="24"/>
          <w:highlight w:val="none"/>
        </w:rPr>
        <w:t xml:space="preserve"> 期：</w:t>
      </w:r>
      <w:r>
        <w:rPr>
          <w:rFonts w:hint="eastAsia" w:cs="@仿宋_GB2312"/>
          <w:color w:val="auto"/>
          <w:sz w:val="24"/>
          <w:szCs w:val="24"/>
          <w:highlight w:val="none"/>
          <w:u w:val="single"/>
        </w:rPr>
        <w:t xml:space="preserve">             </w:t>
      </w:r>
    </w:p>
    <w:p w14:paraId="7984BCFF">
      <w:pPr>
        <w:pageBreakBefore w:val="0"/>
        <w:kinsoku/>
        <w:wordWrap/>
        <w:overflowPunct/>
        <w:bidi w:val="0"/>
        <w:spacing w:line="360" w:lineRule="auto"/>
        <w:textAlignment w:val="auto"/>
        <w:outlineLvl w:val="9"/>
        <w:rPr>
          <w:color w:val="auto"/>
          <w:sz w:val="24"/>
          <w:szCs w:val="28"/>
          <w:highlight w:val="none"/>
        </w:rPr>
      </w:pPr>
    </w:p>
    <w:p w14:paraId="56DC47B5">
      <w:pPr>
        <w:pageBreakBefore w:val="0"/>
        <w:kinsoku/>
        <w:wordWrap/>
        <w:overflowPunct/>
        <w:bidi w:val="0"/>
        <w:spacing w:line="360" w:lineRule="auto"/>
        <w:textAlignment w:val="auto"/>
        <w:outlineLvl w:val="9"/>
        <w:rPr>
          <w:color w:val="auto"/>
          <w:sz w:val="24"/>
          <w:szCs w:val="28"/>
          <w:highlight w:val="none"/>
        </w:rPr>
      </w:pPr>
    </w:p>
    <w:p w14:paraId="60FA9FEA">
      <w:pPr>
        <w:pStyle w:val="9"/>
        <w:pageBreakBefore w:val="0"/>
        <w:kinsoku/>
        <w:wordWrap/>
        <w:overflowPunct/>
        <w:bidi w:val="0"/>
        <w:snapToGrid w:val="0"/>
        <w:spacing w:line="360" w:lineRule="auto"/>
        <w:jc w:val="left"/>
        <w:textAlignment w:val="auto"/>
        <w:outlineLvl w:val="9"/>
        <w:rPr>
          <w:color w:val="auto"/>
          <w:sz w:val="24"/>
          <w:szCs w:val="28"/>
          <w:highlight w:val="none"/>
        </w:rPr>
      </w:pPr>
      <w:r>
        <w:rPr>
          <w:rFonts w:hint="eastAsia"/>
          <w:color w:val="auto"/>
          <w:sz w:val="24"/>
          <w:szCs w:val="28"/>
          <w:highlight w:val="none"/>
        </w:rPr>
        <w:t>注：</w:t>
      </w:r>
    </w:p>
    <w:p w14:paraId="46854446">
      <w:pPr>
        <w:pStyle w:val="9"/>
        <w:pageBreakBefore w:val="0"/>
        <w:kinsoku/>
        <w:wordWrap/>
        <w:overflowPunct/>
        <w:bidi w:val="0"/>
        <w:snapToGrid w:val="0"/>
        <w:spacing w:line="360" w:lineRule="auto"/>
        <w:jc w:val="left"/>
        <w:textAlignment w:val="auto"/>
        <w:outlineLvl w:val="9"/>
        <w:rPr>
          <w:color w:val="auto"/>
          <w:sz w:val="24"/>
          <w:szCs w:val="28"/>
          <w:highlight w:val="none"/>
        </w:rPr>
      </w:pPr>
      <w:r>
        <w:rPr>
          <w:rFonts w:hint="eastAsia"/>
          <w:color w:val="auto"/>
          <w:sz w:val="24"/>
          <w:szCs w:val="28"/>
          <w:highlight w:val="none"/>
        </w:rPr>
        <w:t>1.本项目只允许有唯一的供应商授权代表，提供身份证明扫描件；</w:t>
      </w:r>
    </w:p>
    <w:p w14:paraId="543CD275">
      <w:pPr>
        <w:pageBreakBefore w:val="0"/>
        <w:kinsoku/>
        <w:wordWrap/>
        <w:overflowPunct/>
        <w:bidi w:val="0"/>
        <w:spacing w:line="360" w:lineRule="auto"/>
        <w:jc w:val="left"/>
        <w:textAlignment w:val="auto"/>
        <w:outlineLvl w:val="9"/>
        <w:rPr>
          <w:color w:val="auto"/>
          <w:sz w:val="24"/>
          <w:highlight w:val="none"/>
        </w:rPr>
      </w:pPr>
      <w:r>
        <w:rPr>
          <w:rFonts w:hint="eastAsia"/>
          <w:color w:val="auto"/>
          <w:sz w:val="24"/>
          <w:highlight w:val="none"/>
        </w:rPr>
        <w:t>2.法定代表人参加询比的无需提供授权书，仅提供身份证明扫描件。</w:t>
      </w:r>
    </w:p>
    <w:p w14:paraId="6DD87104">
      <w:pPr>
        <w:pageBreakBefore w:val="0"/>
        <w:kinsoku/>
        <w:wordWrap/>
        <w:overflowPunct/>
        <w:bidi w:val="0"/>
        <w:snapToGrid w:val="0"/>
        <w:spacing w:line="360" w:lineRule="auto"/>
        <w:jc w:val="center"/>
        <w:textAlignment w:val="auto"/>
        <w:outlineLvl w:val="9"/>
        <w:rPr>
          <w:rFonts w:ascii="宋体" w:hAnsi="宋体" w:eastAsia="@仿宋_GB2312" w:cs="@仿宋_GB2312"/>
          <w:b/>
          <w:color w:val="auto"/>
          <w:sz w:val="24"/>
          <w:highlight w:val="none"/>
        </w:rPr>
      </w:pPr>
      <w:r>
        <w:rPr>
          <w:rFonts w:ascii="宋体" w:hAnsi="宋体" w:eastAsia="@仿宋_GB2312" w:cs="@仿宋_GB2312"/>
          <w:b/>
          <w:color w:val="auto"/>
          <w:sz w:val="24"/>
          <w:highlight w:val="none"/>
        </w:rPr>
        <w:br w:type="page"/>
      </w:r>
      <w:r>
        <w:rPr>
          <w:rFonts w:hint="eastAsia" w:ascii="宋体" w:hAnsi="宋体" w:eastAsia="@仿宋_GB2312" w:cs="@仿宋_GB2312"/>
          <w:b/>
          <w:color w:val="auto"/>
          <w:sz w:val="24"/>
          <w:highlight w:val="none"/>
        </w:rPr>
        <w:t>2.</w:t>
      </w:r>
      <w:r>
        <w:rPr>
          <w:rFonts w:hint="eastAsia" w:ascii="宋体" w:cs="@仿宋_GB2312"/>
          <w:b/>
          <w:bCs/>
          <w:color w:val="auto"/>
          <w:sz w:val="24"/>
          <w:szCs w:val="24"/>
          <w:highlight w:val="none"/>
        </w:rPr>
        <w:t>法定代表人身份证明书</w:t>
      </w:r>
    </w:p>
    <w:p w14:paraId="5A51FED6">
      <w:pPr>
        <w:pStyle w:val="7"/>
        <w:pageBreakBefore w:val="0"/>
        <w:kinsoku/>
        <w:wordWrap/>
        <w:overflowPunct/>
        <w:bidi w:val="0"/>
        <w:textAlignment w:val="auto"/>
        <w:outlineLvl w:val="9"/>
        <w:rPr>
          <w:color w:val="auto"/>
          <w:highlight w:val="none"/>
        </w:rPr>
      </w:pPr>
    </w:p>
    <w:p w14:paraId="10680F66">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单位名称：</w:t>
      </w:r>
      <w:r>
        <w:rPr>
          <w:rFonts w:hint="eastAsia"/>
          <w:color w:val="auto"/>
          <w:sz w:val="24"/>
          <w:szCs w:val="28"/>
          <w:highlight w:val="none"/>
          <w:u w:val="single"/>
        </w:rPr>
        <w:t xml:space="preserve">                            </w:t>
      </w:r>
      <w:r>
        <w:rPr>
          <w:color w:val="auto"/>
          <w:sz w:val="24"/>
          <w:szCs w:val="28"/>
          <w:highlight w:val="none"/>
          <w:u w:val="single"/>
        </w:rPr>
        <w:t xml:space="preserve">    </w:t>
      </w:r>
      <w:r>
        <w:rPr>
          <w:rFonts w:hint="eastAsia"/>
          <w:color w:val="auto"/>
          <w:sz w:val="24"/>
          <w:szCs w:val="28"/>
          <w:highlight w:val="none"/>
          <w:u w:val="single"/>
        </w:rPr>
        <w:t xml:space="preserve">          </w:t>
      </w:r>
    </w:p>
    <w:p w14:paraId="342AA336">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单位性质：</w:t>
      </w:r>
      <w:r>
        <w:rPr>
          <w:rFonts w:hint="eastAsia"/>
          <w:color w:val="auto"/>
          <w:sz w:val="24"/>
          <w:szCs w:val="28"/>
          <w:highlight w:val="none"/>
          <w:u w:val="single"/>
        </w:rPr>
        <w:t xml:space="preserve">                             </w:t>
      </w:r>
      <w:r>
        <w:rPr>
          <w:color w:val="auto"/>
          <w:sz w:val="24"/>
          <w:szCs w:val="28"/>
          <w:highlight w:val="none"/>
          <w:u w:val="single"/>
        </w:rPr>
        <w:t xml:space="preserve">    </w:t>
      </w:r>
      <w:r>
        <w:rPr>
          <w:rFonts w:hint="eastAsia"/>
          <w:color w:val="auto"/>
          <w:sz w:val="24"/>
          <w:szCs w:val="28"/>
          <w:highlight w:val="none"/>
          <w:u w:val="single"/>
        </w:rPr>
        <w:t xml:space="preserve">         </w:t>
      </w:r>
    </w:p>
    <w:p w14:paraId="1226AF78">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地    址：</w:t>
      </w:r>
      <w:r>
        <w:rPr>
          <w:rFonts w:hint="eastAsia"/>
          <w:color w:val="auto"/>
          <w:sz w:val="24"/>
          <w:szCs w:val="28"/>
          <w:highlight w:val="none"/>
          <w:u w:val="single"/>
        </w:rPr>
        <w:t xml:space="preserve">                             </w:t>
      </w:r>
      <w:r>
        <w:rPr>
          <w:color w:val="auto"/>
          <w:sz w:val="24"/>
          <w:szCs w:val="28"/>
          <w:highlight w:val="none"/>
          <w:u w:val="single"/>
        </w:rPr>
        <w:t xml:space="preserve">    </w:t>
      </w:r>
      <w:r>
        <w:rPr>
          <w:rFonts w:hint="eastAsia"/>
          <w:color w:val="auto"/>
          <w:sz w:val="24"/>
          <w:szCs w:val="28"/>
          <w:highlight w:val="none"/>
          <w:u w:val="single"/>
        </w:rPr>
        <w:t xml:space="preserve">         </w:t>
      </w:r>
    </w:p>
    <w:p w14:paraId="17775D9B">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成立时间：</w:t>
      </w:r>
      <w:r>
        <w:rPr>
          <w:rFonts w:hint="eastAsia"/>
          <w:color w:val="auto"/>
          <w:sz w:val="24"/>
          <w:szCs w:val="28"/>
          <w:highlight w:val="none"/>
          <w:u w:val="single"/>
        </w:rPr>
        <w:t xml:space="preserve">              </w:t>
      </w:r>
      <w:r>
        <w:rPr>
          <w:rFonts w:hint="eastAsia"/>
          <w:color w:val="auto"/>
          <w:sz w:val="24"/>
          <w:szCs w:val="28"/>
          <w:highlight w:val="none"/>
        </w:rPr>
        <w:t>年</w:t>
      </w:r>
      <w:r>
        <w:rPr>
          <w:rFonts w:hint="eastAsia"/>
          <w:color w:val="auto"/>
          <w:sz w:val="24"/>
          <w:szCs w:val="28"/>
          <w:highlight w:val="none"/>
          <w:u w:val="single"/>
        </w:rPr>
        <w:t xml:space="preserve">         </w:t>
      </w:r>
      <w:r>
        <w:rPr>
          <w:rFonts w:hint="eastAsia"/>
          <w:color w:val="auto"/>
          <w:sz w:val="24"/>
          <w:szCs w:val="28"/>
          <w:highlight w:val="none"/>
        </w:rPr>
        <w:t>月</w:t>
      </w:r>
      <w:r>
        <w:rPr>
          <w:rFonts w:hint="eastAsia"/>
          <w:color w:val="auto"/>
          <w:sz w:val="24"/>
          <w:szCs w:val="28"/>
          <w:highlight w:val="none"/>
          <w:u w:val="single"/>
        </w:rPr>
        <w:t xml:space="preserve">        </w:t>
      </w:r>
      <w:r>
        <w:rPr>
          <w:rFonts w:hint="eastAsia"/>
          <w:color w:val="auto"/>
          <w:sz w:val="24"/>
          <w:szCs w:val="28"/>
          <w:highlight w:val="none"/>
        </w:rPr>
        <w:t>日</w:t>
      </w:r>
    </w:p>
    <w:p w14:paraId="5D8AE1F4">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经营期限：</w:t>
      </w:r>
      <w:r>
        <w:rPr>
          <w:rFonts w:hint="eastAsia"/>
          <w:color w:val="auto"/>
          <w:sz w:val="24"/>
          <w:szCs w:val="28"/>
          <w:highlight w:val="none"/>
          <w:u w:val="single"/>
        </w:rPr>
        <w:t xml:space="preserve">                               </w:t>
      </w:r>
      <w:r>
        <w:rPr>
          <w:color w:val="auto"/>
          <w:sz w:val="24"/>
          <w:szCs w:val="28"/>
          <w:highlight w:val="none"/>
          <w:u w:val="single"/>
        </w:rPr>
        <w:t xml:space="preserve">    </w:t>
      </w:r>
      <w:r>
        <w:rPr>
          <w:rFonts w:hint="eastAsia"/>
          <w:color w:val="auto"/>
          <w:sz w:val="24"/>
          <w:szCs w:val="28"/>
          <w:highlight w:val="none"/>
          <w:u w:val="single"/>
        </w:rPr>
        <w:t xml:space="preserve"> </w:t>
      </w:r>
      <w:r>
        <w:rPr>
          <w:color w:val="auto"/>
          <w:sz w:val="24"/>
          <w:szCs w:val="28"/>
          <w:highlight w:val="none"/>
          <w:u w:val="single"/>
        </w:rPr>
        <w:t xml:space="preserve"> </w:t>
      </w:r>
      <w:r>
        <w:rPr>
          <w:rFonts w:hint="eastAsia"/>
          <w:color w:val="auto"/>
          <w:sz w:val="24"/>
          <w:szCs w:val="28"/>
          <w:highlight w:val="none"/>
          <w:u w:val="single"/>
        </w:rPr>
        <w:t xml:space="preserve">     </w:t>
      </w:r>
    </w:p>
    <w:p w14:paraId="7BE4A830">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姓    名：</w:t>
      </w:r>
      <w:r>
        <w:rPr>
          <w:rFonts w:hint="eastAsia"/>
          <w:color w:val="auto"/>
          <w:sz w:val="24"/>
          <w:szCs w:val="28"/>
          <w:highlight w:val="none"/>
          <w:u w:val="single"/>
        </w:rPr>
        <w:t xml:space="preserve">                  </w:t>
      </w:r>
      <w:r>
        <w:rPr>
          <w:rFonts w:hint="eastAsia"/>
          <w:color w:val="auto"/>
          <w:sz w:val="24"/>
          <w:szCs w:val="28"/>
          <w:highlight w:val="none"/>
        </w:rPr>
        <w:t xml:space="preserve"> 性 </w:t>
      </w:r>
      <w:r>
        <w:rPr>
          <w:color w:val="auto"/>
          <w:sz w:val="24"/>
          <w:szCs w:val="28"/>
          <w:highlight w:val="none"/>
        </w:rPr>
        <w:t xml:space="preserve">  </w:t>
      </w:r>
      <w:r>
        <w:rPr>
          <w:rFonts w:hint="eastAsia"/>
          <w:color w:val="auto"/>
          <w:sz w:val="24"/>
          <w:szCs w:val="28"/>
          <w:highlight w:val="none"/>
        </w:rPr>
        <w:t xml:space="preserve"> 别：</w:t>
      </w:r>
      <w:r>
        <w:rPr>
          <w:rFonts w:hint="eastAsia"/>
          <w:color w:val="auto"/>
          <w:sz w:val="24"/>
          <w:szCs w:val="28"/>
          <w:highlight w:val="none"/>
          <w:u w:val="single"/>
        </w:rPr>
        <w:t xml:space="preserve">             </w:t>
      </w:r>
    </w:p>
    <w:p w14:paraId="44CFC09D">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u w:val="single"/>
        </w:rPr>
      </w:pPr>
      <w:r>
        <w:rPr>
          <w:rFonts w:hint="eastAsia"/>
          <w:color w:val="auto"/>
          <w:sz w:val="24"/>
          <w:szCs w:val="28"/>
          <w:highlight w:val="none"/>
        </w:rPr>
        <w:t>年    龄：</w:t>
      </w:r>
      <w:r>
        <w:rPr>
          <w:rFonts w:hint="eastAsia"/>
          <w:color w:val="auto"/>
          <w:sz w:val="24"/>
          <w:szCs w:val="28"/>
          <w:highlight w:val="none"/>
          <w:u w:val="single"/>
        </w:rPr>
        <w:t xml:space="preserve">                  </w:t>
      </w:r>
      <w:r>
        <w:rPr>
          <w:rFonts w:hint="eastAsia"/>
          <w:color w:val="auto"/>
          <w:sz w:val="24"/>
          <w:szCs w:val="28"/>
          <w:highlight w:val="none"/>
        </w:rPr>
        <w:t xml:space="preserve"> 职    务：</w:t>
      </w:r>
      <w:r>
        <w:rPr>
          <w:rFonts w:hint="eastAsia"/>
          <w:color w:val="auto"/>
          <w:sz w:val="24"/>
          <w:szCs w:val="28"/>
          <w:highlight w:val="none"/>
          <w:u w:val="single"/>
        </w:rPr>
        <w:t xml:space="preserve">             </w:t>
      </w:r>
    </w:p>
    <w:p w14:paraId="54DFD56D">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rPr>
        <w:t>联系</w:t>
      </w:r>
      <w:r>
        <w:rPr>
          <w:color w:val="auto"/>
          <w:sz w:val="24"/>
          <w:szCs w:val="28"/>
          <w:highlight w:val="none"/>
        </w:rPr>
        <w:t>电话</w:t>
      </w:r>
      <w:r>
        <w:rPr>
          <w:rFonts w:hint="eastAsia"/>
          <w:color w:val="auto"/>
          <w:sz w:val="24"/>
          <w:szCs w:val="28"/>
          <w:highlight w:val="none"/>
        </w:rPr>
        <w:t>：</w:t>
      </w:r>
      <w:r>
        <w:rPr>
          <w:rFonts w:hint="eastAsia"/>
          <w:color w:val="auto"/>
          <w:sz w:val="24"/>
          <w:szCs w:val="28"/>
          <w:highlight w:val="none"/>
          <w:u w:val="single"/>
        </w:rPr>
        <w:t xml:space="preserve">                  </w:t>
      </w:r>
      <w:r>
        <w:rPr>
          <w:rFonts w:hint="eastAsia"/>
          <w:color w:val="auto"/>
          <w:sz w:val="24"/>
          <w:szCs w:val="28"/>
          <w:highlight w:val="none"/>
        </w:rPr>
        <w:t xml:space="preserve"> 手机号码：</w:t>
      </w:r>
      <w:r>
        <w:rPr>
          <w:rFonts w:hint="eastAsia"/>
          <w:color w:val="auto"/>
          <w:sz w:val="24"/>
          <w:szCs w:val="28"/>
          <w:highlight w:val="none"/>
          <w:u w:val="single"/>
        </w:rPr>
        <w:t xml:space="preserve">             </w:t>
      </w:r>
    </w:p>
    <w:p w14:paraId="0945AB74">
      <w:pPr>
        <w:pageBreakBefore w:val="0"/>
        <w:kinsoku/>
        <w:wordWrap/>
        <w:overflowPunct/>
        <w:bidi w:val="0"/>
        <w:snapToGrid w:val="0"/>
        <w:spacing w:line="360" w:lineRule="auto"/>
        <w:ind w:firstLine="480" w:firstLineChars="200"/>
        <w:jc w:val="left"/>
        <w:textAlignment w:val="auto"/>
        <w:outlineLvl w:val="9"/>
        <w:rPr>
          <w:color w:val="auto"/>
          <w:sz w:val="24"/>
          <w:szCs w:val="28"/>
          <w:highlight w:val="none"/>
        </w:rPr>
      </w:pPr>
      <w:r>
        <w:rPr>
          <w:rFonts w:hint="eastAsia"/>
          <w:color w:val="auto"/>
          <w:sz w:val="24"/>
          <w:szCs w:val="28"/>
          <w:highlight w:val="none"/>
          <w:u w:val="single"/>
        </w:rPr>
        <w:t xml:space="preserve">        </w:t>
      </w:r>
      <w:r>
        <w:rPr>
          <w:rFonts w:hint="eastAsia"/>
          <w:color w:val="auto"/>
          <w:sz w:val="24"/>
          <w:szCs w:val="28"/>
          <w:highlight w:val="none"/>
        </w:rPr>
        <w:t xml:space="preserve">系  </w:t>
      </w:r>
      <w:r>
        <w:rPr>
          <w:rFonts w:hint="eastAsia"/>
          <w:color w:val="auto"/>
          <w:sz w:val="24"/>
          <w:szCs w:val="28"/>
          <w:highlight w:val="none"/>
          <w:u w:val="single"/>
        </w:rPr>
        <w:t xml:space="preserve">   （供应商单位名称）       </w:t>
      </w:r>
      <w:r>
        <w:rPr>
          <w:rFonts w:hint="eastAsia"/>
          <w:color w:val="auto"/>
          <w:sz w:val="24"/>
          <w:szCs w:val="28"/>
          <w:highlight w:val="none"/>
        </w:rPr>
        <w:t>的法定代表人。</w:t>
      </w:r>
    </w:p>
    <w:p w14:paraId="3573DE03">
      <w:pPr>
        <w:pageBreakBefore w:val="0"/>
        <w:kinsoku/>
        <w:wordWrap/>
        <w:overflowPunct/>
        <w:bidi w:val="0"/>
        <w:spacing w:before="62" w:after="62" w:line="540" w:lineRule="exact"/>
        <w:ind w:firstLine="610"/>
        <w:textAlignment w:val="auto"/>
        <w:outlineLvl w:val="9"/>
        <w:rPr>
          <w:rFonts w:hint="eastAsia" w:ascii="@仿宋_GB2312" w:eastAsia="@仿宋_GB2312" w:cs="宋体"/>
          <w:color w:val="auto"/>
          <w:sz w:val="24"/>
          <w:szCs w:val="24"/>
          <w:highlight w:val="none"/>
        </w:rPr>
      </w:pPr>
    </w:p>
    <w:p w14:paraId="0E304DF6">
      <w:pPr>
        <w:pageBreakBefore w:val="0"/>
        <w:kinsoku/>
        <w:wordWrap/>
        <w:overflowPunct/>
        <w:bidi w:val="0"/>
        <w:spacing w:before="62" w:after="62" w:line="540" w:lineRule="exact"/>
        <w:ind w:left="420" w:leftChars="200" w:firstLine="240" w:firstLineChars="100"/>
        <w:textAlignment w:val="auto"/>
        <w:outlineLvl w:val="9"/>
        <w:rPr>
          <w:rFonts w:cs="宋体"/>
          <w:color w:val="auto"/>
          <w:sz w:val="24"/>
          <w:szCs w:val="24"/>
          <w:highlight w:val="none"/>
        </w:rPr>
      </w:pPr>
      <w:r>
        <w:rPr>
          <w:rFonts w:hint="eastAsia" w:cs="宋体"/>
          <w:color w:val="auto"/>
          <w:sz w:val="24"/>
          <w:szCs w:val="24"/>
          <w:highlight w:val="none"/>
        </w:rPr>
        <w:t>特此证明。</w:t>
      </w:r>
    </w:p>
    <w:p w14:paraId="4D4C2175">
      <w:pPr>
        <w:pageBreakBefore w:val="0"/>
        <w:tabs>
          <w:tab w:val="left" w:pos="720"/>
          <w:tab w:val="left" w:pos="900"/>
        </w:tabs>
        <w:kinsoku/>
        <w:wordWrap/>
        <w:overflowPunct/>
        <w:bidi w:val="0"/>
        <w:spacing w:before="62" w:after="62" w:line="540" w:lineRule="exact"/>
        <w:ind w:firstLine="482" w:firstLineChars="200"/>
        <w:textAlignment w:val="auto"/>
        <w:outlineLvl w:val="9"/>
        <w:rPr>
          <w:rFonts w:cs="宋体"/>
          <w:b/>
          <w:bCs/>
          <w:color w:val="auto"/>
          <w:sz w:val="24"/>
          <w:szCs w:val="24"/>
          <w:highlight w:val="none"/>
        </w:rPr>
      </w:pPr>
      <w:r>
        <w:rPr>
          <w:rFonts w:hint="eastAsia" w:cs="宋体"/>
          <w:b/>
          <w:bCs/>
          <w:color w:val="auto"/>
          <w:sz w:val="24"/>
          <w:szCs w:val="24"/>
          <w:highlight w:val="none"/>
        </w:rPr>
        <w:t>附：法定代表人身份证扫描件</w:t>
      </w:r>
      <w:r>
        <w:rPr>
          <w:rFonts w:hint="eastAsia"/>
          <w:b/>
          <w:bCs/>
          <w:color w:val="auto"/>
          <w:sz w:val="24"/>
          <w:highlight w:val="none"/>
        </w:rPr>
        <w:t>或影印件</w:t>
      </w:r>
    </w:p>
    <w:p w14:paraId="60214BEF">
      <w:pPr>
        <w:pageBreakBefore w:val="0"/>
        <w:tabs>
          <w:tab w:val="left" w:pos="720"/>
          <w:tab w:val="left" w:pos="900"/>
        </w:tabs>
        <w:kinsoku/>
        <w:wordWrap/>
        <w:overflowPunct/>
        <w:bidi w:val="0"/>
        <w:spacing w:before="62" w:after="62" w:line="540" w:lineRule="exact"/>
        <w:ind w:firstLine="480" w:firstLineChars="200"/>
        <w:textAlignment w:val="auto"/>
        <w:outlineLvl w:val="9"/>
        <w:rPr>
          <w:rFonts w:hint="eastAsia" w:ascii="@仿宋_GB2312" w:eastAsia="@仿宋_GB2312" w:cs="宋体"/>
          <w:color w:val="auto"/>
          <w:sz w:val="24"/>
          <w:szCs w:val="24"/>
          <w:highlight w:val="none"/>
        </w:rPr>
      </w:pPr>
    </w:p>
    <w:p w14:paraId="2951E5C8">
      <w:pPr>
        <w:pageBreakBefore w:val="0"/>
        <w:kinsoku/>
        <w:wordWrap/>
        <w:overflowPunct/>
        <w:bidi w:val="0"/>
        <w:spacing w:line="440" w:lineRule="exact"/>
        <w:ind w:firstLine="4418" w:firstLineChars="1841"/>
        <w:textAlignment w:val="auto"/>
        <w:outlineLvl w:val="9"/>
        <w:rPr>
          <w:rFonts w:cs="@仿宋_GB2312"/>
          <w:color w:val="auto"/>
          <w:sz w:val="24"/>
          <w:szCs w:val="24"/>
          <w:highlight w:val="none"/>
          <w:u w:val="single"/>
        </w:rPr>
      </w:pPr>
      <w:r>
        <w:rPr>
          <w:rFonts w:hint="eastAsia" w:cs="@仿宋_GB2312"/>
          <w:color w:val="auto"/>
          <w:sz w:val="24"/>
          <w:szCs w:val="24"/>
          <w:highlight w:val="none"/>
        </w:rPr>
        <w:t>供应商公章：</w:t>
      </w:r>
      <w:r>
        <w:rPr>
          <w:rFonts w:hint="eastAsia" w:cs="@仿宋_GB2312"/>
          <w:color w:val="auto"/>
          <w:sz w:val="24"/>
          <w:szCs w:val="24"/>
          <w:highlight w:val="none"/>
          <w:u w:val="single"/>
        </w:rPr>
        <w:t xml:space="preserve">     </w:t>
      </w:r>
      <w:r>
        <w:rPr>
          <w:rFonts w:cs="@仿宋_GB2312"/>
          <w:color w:val="auto"/>
          <w:sz w:val="24"/>
          <w:szCs w:val="24"/>
          <w:highlight w:val="none"/>
          <w:u w:val="single"/>
        </w:rPr>
        <w:t xml:space="preserve">    </w:t>
      </w:r>
      <w:r>
        <w:rPr>
          <w:rFonts w:hint="eastAsia" w:cs="@仿宋_GB2312"/>
          <w:color w:val="auto"/>
          <w:sz w:val="24"/>
          <w:szCs w:val="24"/>
          <w:highlight w:val="none"/>
          <w:u w:val="single"/>
        </w:rPr>
        <w:t xml:space="preserve">    </w:t>
      </w:r>
    </w:p>
    <w:p w14:paraId="7809A683">
      <w:pPr>
        <w:pageBreakBefore w:val="0"/>
        <w:kinsoku/>
        <w:wordWrap/>
        <w:overflowPunct/>
        <w:bidi w:val="0"/>
        <w:spacing w:line="440" w:lineRule="exact"/>
        <w:ind w:firstLine="4418" w:firstLineChars="1841"/>
        <w:textAlignment w:val="auto"/>
        <w:outlineLvl w:val="9"/>
        <w:rPr>
          <w:rFonts w:hint="eastAsia" w:cs="@仿宋_GB2312"/>
          <w:color w:val="auto"/>
          <w:sz w:val="24"/>
          <w:szCs w:val="24"/>
          <w:highlight w:val="none"/>
          <w:u w:val="single"/>
        </w:rPr>
      </w:pPr>
      <w:r>
        <w:rPr>
          <w:rFonts w:hint="eastAsia" w:cs="@仿宋_GB2312"/>
          <w:color w:val="auto"/>
          <w:sz w:val="24"/>
          <w:szCs w:val="24"/>
          <w:highlight w:val="none"/>
        </w:rPr>
        <w:t xml:space="preserve">日    </w:t>
      </w:r>
      <w:r>
        <w:rPr>
          <w:rFonts w:cs="@仿宋_GB2312"/>
          <w:color w:val="auto"/>
          <w:sz w:val="24"/>
          <w:szCs w:val="24"/>
          <w:highlight w:val="none"/>
        </w:rPr>
        <w:t xml:space="preserve"> </w:t>
      </w:r>
      <w:r>
        <w:rPr>
          <w:rFonts w:hint="eastAsia" w:cs="@仿宋_GB2312"/>
          <w:color w:val="auto"/>
          <w:sz w:val="24"/>
          <w:szCs w:val="24"/>
          <w:highlight w:val="none"/>
        </w:rPr>
        <w:t xml:space="preserve"> 期：</w:t>
      </w:r>
      <w:r>
        <w:rPr>
          <w:rFonts w:hint="eastAsia" w:cs="@仿宋_GB2312"/>
          <w:color w:val="auto"/>
          <w:sz w:val="24"/>
          <w:szCs w:val="24"/>
          <w:highlight w:val="none"/>
          <w:u w:val="single"/>
        </w:rPr>
        <w:t xml:space="preserve">             </w:t>
      </w:r>
    </w:p>
    <w:p w14:paraId="678D2B2A">
      <w:pPr>
        <w:pStyle w:val="48"/>
        <w:pageBreakBefore w:val="0"/>
        <w:kinsoku/>
        <w:wordWrap/>
        <w:overflowPunct/>
        <w:bidi w:val="0"/>
        <w:textAlignment w:val="auto"/>
        <w:outlineLvl w:val="9"/>
        <w:rPr>
          <w:color w:val="auto"/>
          <w:highlight w:val="none"/>
        </w:rPr>
      </w:pPr>
    </w:p>
    <w:p w14:paraId="45DEA989">
      <w:pPr>
        <w:pageBreakBefore w:val="0"/>
        <w:kinsoku/>
        <w:wordWrap/>
        <w:overflowPunct/>
        <w:bidi w:val="0"/>
        <w:spacing w:line="360" w:lineRule="auto"/>
        <w:jc w:val="center"/>
        <w:textAlignment w:val="auto"/>
        <w:outlineLvl w:val="9"/>
        <w:rPr>
          <w:rFonts w:hint="eastAsia" w:ascii="宋体" w:cs="@仿宋_GB2312"/>
          <w:b/>
          <w:bCs/>
          <w:color w:val="auto"/>
          <w:sz w:val="24"/>
          <w:szCs w:val="24"/>
          <w:highlight w:val="none"/>
        </w:rPr>
      </w:pPr>
      <w:r>
        <w:rPr>
          <w:rFonts w:ascii="宋体" w:hAnsi="宋体" w:eastAsia="@仿宋_GB2312" w:cs="@仿宋_GB2312"/>
          <w:b/>
          <w:color w:val="auto"/>
          <w:sz w:val="24"/>
          <w:highlight w:val="none"/>
        </w:rPr>
        <w:br w:type="page"/>
      </w:r>
      <w:r>
        <w:rPr>
          <w:rFonts w:hint="eastAsia" w:ascii="宋体" w:eastAsia="宋体" w:cs="@仿宋_GB2312"/>
          <w:b/>
          <w:bCs/>
          <w:color w:val="auto"/>
          <w:sz w:val="24"/>
          <w:szCs w:val="24"/>
          <w:highlight w:val="none"/>
          <w:lang w:val="en-US" w:eastAsia="zh-CN"/>
        </w:rPr>
        <w:t>八</w:t>
      </w:r>
      <w:r>
        <w:rPr>
          <w:rFonts w:hint="eastAsia" w:ascii="宋体" w:eastAsia="宋体" w:cs="@仿宋_GB2312"/>
          <w:b/>
          <w:bCs/>
          <w:color w:val="auto"/>
          <w:sz w:val="24"/>
          <w:szCs w:val="24"/>
          <w:highlight w:val="none"/>
          <w:lang w:eastAsia="zh-CN"/>
        </w:rPr>
        <w:t>、</w:t>
      </w:r>
      <w:r>
        <w:rPr>
          <w:rFonts w:hint="eastAsia" w:ascii="宋体" w:cs="@仿宋_GB2312"/>
          <w:b/>
          <w:bCs/>
          <w:color w:val="auto"/>
          <w:sz w:val="24"/>
          <w:szCs w:val="24"/>
          <w:highlight w:val="none"/>
        </w:rPr>
        <w:t>询比响应表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888"/>
        <w:gridCol w:w="2577"/>
        <w:gridCol w:w="2523"/>
        <w:gridCol w:w="810"/>
      </w:tblGrid>
      <w:tr w14:paraId="4CAE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noWrap w:val="0"/>
            <w:vAlign w:val="center"/>
          </w:tcPr>
          <w:p w14:paraId="495D80E3">
            <w:pPr>
              <w:pStyle w:val="9"/>
              <w:pageBreakBefore w:val="0"/>
              <w:kinsoku/>
              <w:wordWrap/>
              <w:overflowPunct/>
              <w:bidi w:val="0"/>
              <w:jc w:val="center"/>
              <w:textAlignment w:val="auto"/>
              <w:outlineLvl w:val="9"/>
              <w:rPr>
                <w:rFonts w:cs="Wingdings"/>
                <w:b/>
                <w:color w:val="auto"/>
                <w:sz w:val="24"/>
                <w:highlight w:val="none"/>
              </w:rPr>
            </w:pPr>
            <w:r>
              <w:rPr>
                <w:rFonts w:hint="eastAsia" w:cs="Wingdings"/>
                <w:b/>
                <w:color w:val="auto"/>
                <w:sz w:val="24"/>
                <w:highlight w:val="none"/>
              </w:rPr>
              <w:t>序号</w:t>
            </w:r>
          </w:p>
        </w:tc>
        <w:tc>
          <w:tcPr>
            <w:tcW w:w="1888" w:type="dxa"/>
            <w:noWrap w:val="0"/>
            <w:vAlign w:val="center"/>
          </w:tcPr>
          <w:p w14:paraId="56084DAB">
            <w:pPr>
              <w:pStyle w:val="9"/>
              <w:pageBreakBefore w:val="0"/>
              <w:kinsoku/>
              <w:wordWrap/>
              <w:overflowPunct/>
              <w:bidi w:val="0"/>
              <w:jc w:val="center"/>
              <w:textAlignment w:val="auto"/>
              <w:outlineLvl w:val="9"/>
              <w:rPr>
                <w:rFonts w:cs="Wingdings"/>
                <w:b/>
                <w:color w:val="auto"/>
                <w:sz w:val="24"/>
                <w:highlight w:val="none"/>
              </w:rPr>
            </w:pPr>
            <w:r>
              <w:rPr>
                <w:rFonts w:hint="eastAsia"/>
                <w:b/>
                <w:bCs/>
                <w:color w:val="auto"/>
                <w:sz w:val="24"/>
                <w:szCs w:val="24"/>
                <w:highlight w:val="none"/>
              </w:rPr>
              <w:t>商务条款</w:t>
            </w:r>
          </w:p>
        </w:tc>
        <w:tc>
          <w:tcPr>
            <w:tcW w:w="2577" w:type="dxa"/>
            <w:noWrap w:val="0"/>
            <w:vAlign w:val="center"/>
          </w:tcPr>
          <w:p w14:paraId="6A4A20FD">
            <w:pPr>
              <w:pStyle w:val="9"/>
              <w:pageBreakBefore w:val="0"/>
              <w:kinsoku/>
              <w:wordWrap/>
              <w:overflowPunct/>
              <w:bidi w:val="0"/>
              <w:jc w:val="center"/>
              <w:textAlignment w:val="auto"/>
              <w:outlineLvl w:val="9"/>
              <w:rPr>
                <w:rFonts w:cs="Wingdings"/>
                <w:b/>
                <w:color w:val="auto"/>
                <w:sz w:val="24"/>
                <w:highlight w:val="none"/>
              </w:rPr>
            </w:pPr>
            <w:r>
              <w:rPr>
                <w:rFonts w:hint="eastAsia" w:cs="Wingdings"/>
                <w:b/>
                <w:color w:val="auto"/>
                <w:sz w:val="24"/>
                <w:highlight w:val="none"/>
              </w:rPr>
              <w:t>询比文件要求</w:t>
            </w:r>
          </w:p>
        </w:tc>
        <w:tc>
          <w:tcPr>
            <w:tcW w:w="2523" w:type="dxa"/>
            <w:noWrap w:val="0"/>
            <w:vAlign w:val="center"/>
          </w:tcPr>
          <w:p w14:paraId="17D689E2">
            <w:pPr>
              <w:pStyle w:val="9"/>
              <w:pageBreakBefore w:val="0"/>
              <w:kinsoku/>
              <w:wordWrap/>
              <w:overflowPunct/>
              <w:bidi w:val="0"/>
              <w:jc w:val="center"/>
              <w:textAlignment w:val="auto"/>
              <w:outlineLvl w:val="9"/>
              <w:rPr>
                <w:rFonts w:cs="Wingdings"/>
                <w:b/>
                <w:color w:val="auto"/>
                <w:sz w:val="24"/>
                <w:highlight w:val="none"/>
              </w:rPr>
            </w:pPr>
            <w:r>
              <w:rPr>
                <w:rFonts w:hint="eastAsia" w:cs="Wingdings"/>
                <w:b/>
                <w:color w:val="auto"/>
                <w:sz w:val="24"/>
                <w:highlight w:val="none"/>
              </w:rPr>
              <w:t>供应商承诺</w:t>
            </w:r>
          </w:p>
        </w:tc>
        <w:tc>
          <w:tcPr>
            <w:tcW w:w="810" w:type="dxa"/>
            <w:noWrap w:val="0"/>
            <w:vAlign w:val="center"/>
          </w:tcPr>
          <w:p w14:paraId="04895384">
            <w:pPr>
              <w:pStyle w:val="9"/>
              <w:pageBreakBefore w:val="0"/>
              <w:kinsoku/>
              <w:wordWrap/>
              <w:overflowPunct/>
              <w:bidi w:val="0"/>
              <w:jc w:val="center"/>
              <w:textAlignment w:val="auto"/>
              <w:outlineLvl w:val="9"/>
              <w:rPr>
                <w:rFonts w:cs="Wingdings"/>
                <w:b/>
                <w:color w:val="auto"/>
                <w:sz w:val="24"/>
                <w:highlight w:val="none"/>
              </w:rPr>
            </w:pPr>
            <w:r>
              <w:rPr>
                <w:rFonts w:hint="eastAsia" w:cs="Wingdings"/>
                <w:b/>
                <w:color w:val="auto"/>
                <w:sz w:val="24"/>
                <w:highlight w:val="none"/>
              </w:rPr>
              <w:t>偏离说明</w:t>
            </w:r>
          </w:p>
        </w:tc>
      </w:tr>
      <w:tr w14:paraId="3B87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3A13B7BC">
            <w:pPr>
              <w:pageBreakBefore w:val="0"/>
              <w:kinsoku/>
              <w:wordWrap/>
              <w:overflowPunct/>
              <w:bidi w:val="0"/>
              <w:jc w:val="center"/>
              <w:textAlignment w:val="auto"/>
              <w:outlineLvl w:val="9"/>
              <w:rPr>
                <w:rFonts w:hint="eastAsia" w:ascii="宋体"/>
                <w:color w:val="auto"/>
                <w:sz w:val="24"/>
                <w:highlight w:val="none"/>
              </w:rPr>
            </w:pPr>
            <w:r>
              <w:rPr>
                <w:rFonts w:hint="eastAsia" w:ascii="宋体"/>
                <w:color w:val="auto"/>
                <w:sz w:val="24"/>
                <w:highlight w:val="none"/>
              </w:rPr>
              <w:t>1</w:t>
            </w:r>
          </w:p>
        </w:tc>
        <w:tc>
          <w:tcPr>
            <w:tcW w:w="1888" w:type="dxa"/>
            <w:noWrap w:val="0"/>
            <w:vAlign w:val="center"/>
          </w:tcPr>
          <w:p w14:paraId="28D109AB">
            <w:pPr>
              <w:pStyle w:val="51"/>
              <w:pageBreakBefore w:val="0"/>
              <w:widowControl w:val="0"/>
              <w:kinsoku/>
              <w:wordWrap/>
              <w:overflowPunct/>
              <w:bidi w:val="0"/>
              <w:spacing w:before="0" w:beforeAutospacing="0" w:after="0" w:afterAutospacing="0"/>
              <w:textAlignment w:val="auto"/>
              <w:outlineLvl w:val="9"/>
              <w:rPr>
                <w:rFonts w:hint="eastAsia" w:ascii="宋体" w:cs="宋体"/>
                <w:b w:val="0"/>
                <w:color w:val="auto"/>
                <w:sz w:val="24"/>
                <w:szCs w:val="24"/>
                <w:highlight w:val="none"/>
              </w:rPr>
            </w:pPr>
            <w:r>
              <w:rPr>
                <w:rFonts w:hint="eastAsia" w:ascii="宋体" w:cs="宋体"/>
                <w:b w:val="0"/>
                <w:color w:val="auto"/>
                <w:sz w:val="24"/>
                <w:szCs w:val="24"/>
                <w:highlight w:val="none"/>
              </w:rPr>
              <w:t>付款方式</w:t>
            </w:r>
          </w:p>
        </w:tc>
        <w:tc>
          <w:tcPr>
            <w:tcW w:w="2577" w:type="dxa"/>
            <w:noWrap w:val="0"/>
            <w:vAlign w:val="center"/>
          </w:tcPr>
          <w:p w14:paraId="39F67A73">
            <w:pPr>
              <w:pStyle w:val="51"/>
              <w:widowControl w:val="0"/>
              <w:spacing w:before="0" w:beforeAutospacing="0" w:after="0" w:afterAutospacing="0"/>
              <w:jc w:val="both"/>
              <w:rPr>
                <w:rFonts w:hint="eastAsia" w:ascii="宋体" w:hAnsi="Calibri" w:cs="宋体"/>
                <w:b w:val="0"/>
                <w:bCs/>
                <w:color w:val="auto"/>
                <w:kern w:val="2"/>
                <w:sz w:val="24"/>
                <w:szCs w:val="24"/>
                <w:highlight w:val="none"/>
                <w:lang w:val="en-US" w:eastAsia="zh-CN" w:bidi="ar-SA"/>
              </w:rPr>
            </w:pPr>
            <w:r>
              <w:rPr>
                <w:rFonts w:hint="eastAsia" w:ascii="宋体" w:hAnsi="Calibri" w:cs="宋体"/>
                <w:b w:val="0"/>
                <w:bCs/>
                <w:color w:val="auto"/>
                <w:kern w:val="2"/>
                <w:sz w:val="24"/>
                <w:szCs w:val="24"/>
                <w:highlight w:val="none"/>
                <w:lang w:val="en-US" w:eastAsia="zh-CN" w:bidi="ar-SA"/>
              </w:rPr>
              <w:t>每月依据实际业务量，据实结算。</w:t>
            </w:r>
          </w:p>
        </w:tc>
        <w:tc>
          <w:tcPr>
            <w:tcW w:w="2523" w:type="dxa"/>
            <w:noWrap w:val="0"/>
            <w:vAlign w:val="center"/>
          </w:tcPr>
          <w:p w14:paraId="31EDF2E1">
            <w:pPr>
              <w:pageBreakBefore w:val="0"/>
              <w:kinsoku/>
              <w:wordWrap/>
              <w:overflowPunct/>
              <w:bidi w:val="0"/>
              <w:jc w:val="center"/>
              <w:textAlignment w:val="auto"/>
              <w:outlineLvl w:val="9"/>
              <w:rPr>
                <w:rFonts w:hint="eastAsia" w:ascii="宋体"/>
                <w:color w:val="auto"/>
                <w:sz w:val="24"/>
                <w:highlight w:val="none"/>
              </w:rPr>
            </w:pPr>
          </w:p>
        </w:tc>
        <w:tc>
          <w:tcPr>
            <w:tcW w:w="810" w:type="dxa"/>
            <w:noWrap w:val="0"/>
            <w:vAlign w:val="center"/>
          </w:tcPr>
          <w:p w14:paraId="12E4FA05">
            <w:pPr>
              <w:pageBreakBefore w:val="0"/>
              <w:kinsoku/>
              <w:wordWrap/>
              <w:overflowPunct/>
              <w:bidi w:val="0"/>
              <w:jc w:val="center"/>
              <w:textAlignment w:val="auto"/>
              <w:outlineLvl w:val="9"/>
              <w:rPr>
                <w:rFonts w:hint="eastAsia" w:ascii="宋体"/>
                <w:color w:val="auto"/>
                <w:sz w:val="24"/>
                <w:highlight w:val="none"/>
              </w:rPr>
            </w:pPr>
          </w:p>
        </w:tc>
      </w:tr>
      <w:tr w14:paraId="0491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7034A595">
            <w:pPr>
              <w:pageBreakBefore w:val="0"/>
              <w:kinsoku/>
              <w:wordWrap/>
              <w:overflowPunct/>
              <w:bidi w:val="0"/>
              <w:jc w:val="center"/>
              <w:textAlignment w:val="auto"/>
              <w:outlineLvl w:val="9"/>
              <w:rPr>
                <w:rFonts w:hint="eastAsia" w:ascii="宋体"/>
                <w:color w:val="auto"/>
                <w:sz w:val="24"/>
                <w:highlight w:val="none"/>
              </w:rPr>
            </w:pPr>
            <w:r>
              <w:rPr>
                <w:rFonts w:hint="eastAsia" w:ascii="宋体"/>
                <w:color w:val="auto"/>
                <w:sz w:val="24"/>
                <w:highlight w:val="none"/>
              </w:rPr>
              <w:t>2</w:t>
            </w:r>
          </w:p>
        </w:tc>
        <w:tc>
          <w:tcPr>
            <w:tcW w:w="1888" w:type="dxa"/>
            <w:noWrap w:val="0"/>
            <w:vAlign w:val="center"/>
          </w:tcPr>
          <w:p w14:paraId="47110E54">
            <w:pPr>
              <w:pStyle w:val="51"/>
              <w:pageBreakBefore w:val="0"/>
              <w:widowControl w:val="0"/>
              <w:kinsoku/>
              <w:wordWrap/>
              <w:overflowPunct/>
              <w:bidi w:val="0"/>
              <w:spacing w:before="0" w:beforeAutospacing="0" w:after="0" w:afterAutospacing="0"/>
              <w:textAlignment w:val="auto"/>
              <w:outlineLvl w:val="9"/>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lang w:eastAsia="zh-CN"/>
              </w:rPr>
              <w:t>服务地点</w:t>
            </w:r>
          </w:p>
        </w:tc>
        <w:tc>
          <w:tcPr>
            <w:tcW w:w="2577" w:type="dxa"/>
            <w:noWrap w:val="0"/>
            <w:vAlign w:val="center"/>
          </w:tcPr>
          <w:p w14:paraId="674ECFD6">
            <w:pPr>
              <w:pStyle w:val="51"/>
              <w:widowControl w:val="0"/>
              <w:spacing w:before="0" w:beforeAutospacing="0" w:after="0" w:afterAutospacing="0"/>
              <w:jc w:val="both"/>
              <w:rPr>
                <w:rFonts w:hint="eastAsia" w:ascii="宋体" w:hAnsi="Calibri" w:eastAsia="宋体" w:cs="宋体"/>
                <w:b w:val="0"/>
                <w:bCs/>
                <w:color w:val="auto"/>
                <w:kern w:val="2"/>
                <w:sz w:val="24"/>
                <w:szCs w:val="24"/>
                <w:highlight w:val="none"/>
                <w:lang w:val="en-US" w:eastAsia="zh-CN" w:bidi="ar-SA"/>
              </w:rPr>
            </w:pPr>
            <w:r>
              <w:rPr>
                <w:rFonts w:hint="eastAsia" w:ascii="宋体" w:cs="宋体"/>
                <w:b w:val="0"/>
                <w:color w:val="auto"/>
                <w:sz w:val="24"/>
                <w:szCs w:val="24"/>
                <w:highlight w:val="none"/>
                <w:lang w:val="en-US" w:eastAsia="zh-CN"/>
              </w:rPr>
              <w:t>采购人指定地点</w:t>
            </w:r>
          </w:p>
        </w:tc>
        <w:tc>
          <w:tcPr>
            <w:tcW w:w="2523" w:type="dxa"/>
            <w:noWrap w:val="0"/>
            <w:vAlign w:val="center"/>
          </w:tcPr>
          <w:p w14:paraId="0AFC9553">
            <w:pPr>
              <w:pageBreakBefore w:val="0"/>
              <w:kinsoku/>
              <w:wordWrap/>
              <w:overflowPunct/>
              <w:bidi w:val="0"/>
              <w:jc w:val="center"/>
              <w:textAlignment w:val="auto"/>
              <w:outlineLvl w:val="9"/>
              <w:rPr>
                <w:rFonts w:hint="eastAsia" w:ascii="宋体"/>
                <w:color w:val="auto"/>
                <w:sz w:val="24"/>
                <w:highlight w:val="none"/>
              </w:rPr>
            </w:pPr>
          </w:p>
        </w:tc>
        <w:tc>
          <w:tcPr>
            <w:tcW w:w="810" w:type="dxa"/>
            <w:noWrap w:val="0"/>
            <w:vAlign w:val="center"/>
          </w:tcPr>
          <w:p w14:paraId="61368207">
            <w:pPr>
              <w:pageBreakBefore w:val="0"/>
              <w:kinsoku/>
              <w:wordWrap/>
              <w:overflowPunct/>
              <w:bidi w:val="0"/>
              <w:jc w:val="center"/>
              <w:textAlignment w:val="auto"/>
              <w:outlineLvl w:val="9"/>
              <w:rPr>
                <w:rFonts w:hint="eastAsia" w:ascii="宋体"/>
                <w:color w:val="auto"/>
                <w:sz w:val="24"/>
                <w:highlight w:val="none"/>
              </w:rPr>
            </w:pPr>
          </w:p>
        </w:tc>
      </w:tr>
      <w:tr w14:paraId="4749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724" w:type="dxa"/>
            <w:noWrap w:val="0"/>
            <w:vAlign w:val="center"/>
          </w:tcPr>
          <w:p w14:paraId="2CB8F121">
            <w:pPr>
              <w:pageBreakBefore w:val="0"/>
              <w:kinsoku/>
              <w:wordWrap/>
              <w:overflowPunct/>
              <w:bidi w:val="0"/>
              <w:jc w:val="center"/>
              <w:textAlignment w:val="auto"/>
              <w:outlineLvl w:val="9"/>
              <w:rPr>
                <w:rFonts w:hint="eastAsia" w:ascii="宋体"/>
                <w:color w:val="auto"/>
                <w:sz w:val="24"/>
                <w:highlight w:val="none"/>
              </w:rPr>
            </w:pPr>
            <w:r>
              <w:rPr>
                <w:rFonts w:hint="eastAsia" w:ascii="宋体"/>
                <w:color w:val="auto"/>
                <w:sz w:val="24"/>
                <w:highlight w:val="none"/>
              </w:rPr>
              <w:t>3</w:t>
            </w:r>
          </w:p>
        </w:tc>
        <w:tc>
          <w:tcPr>
            <w:tcW w:w="1888" w:type="dxa"/>
            <w:noWrap w:val="0"/>
            <w:vAlign w:val="center"/>
          </w:tcPr>
          <w:p w14:paraId="6462B7AC">
            <w:pPr>
              <w:pStyle w:val="51"/>
              <w:pageBreakBefore w:val="0"/>
              <w:widowControl w:val="0"/>
              <w:kinsoku/>
              <w:wordWrap/>
              <w:overflowPunct/>
              <w:bidi w:val="0"/>
              <w:spacing w:before="0" w:beforeAutospacing="0" w:after="0" w:afterAutospacing="0"/>
              <w:textAlignment w:val="auto"/>
              <w:outlineLvl w:val="9"/>
              <w:rPr>
                <w:rFonts w:hint="eastAsia" w:ascii="宋体" w:eastAsia="宋体" w:cs="宋体"/>
                <w:b w:val="0"/>
                <w:color w:val="auto"/>
                <w:sz w:val="24"/>
                <w:szCs w:val="24"/>
                <w:highlight w:val="none"/>
                <w:lang w:eastAsia="zh-CN"/>
              </w:rPr>
            </w:pPr>
            <w:r>
              <w:rPr>
                <w:rFonts w:hint="eastAsia" w:ascii="宋体" w:cs="宋体"/>
                <w:b w:val="0"/>
                <w:color w:val="auto"/>
                <w:sz w:val="24"/>
                <w:szCs w:val="24"/>
                <w:highlight w:val="none"/>
                <w:lang w:eastAsia="zh-CN"/>
              </w:rPr>
              <w:t>服务期限</w:t>
            </w:r>
          </w:p>
        </w:tc>
        <w:tc>
          <w:tcPr>
            <w:tcW w:w="2577" w:type="dxa"/>
            <w:noWrap w:val="0"/>
            <w:vAlign w:val="center"/>
          </w:tcPr>
          <w:p w14:paraId="35F7F215">
            <w:pPr>
              <w:pStyle w:val="51"/>
              <w:widowControl w:val="0"/>
              <w:spacing w:before="0" w:beforeAutospacing="0" w:after="0" w:afterAutospacing="0"/>
              <w:jc w:val="both"/>
              <w:rPr>
                <w:rFonts w:hint="eastAsia" w:ascii="宋体" w:hAnsi="Calibri" w:eastAsia="宋体" w:cs="宋体"/>
                <w:b w:val="0"/>
                <w:bCs/>
                <w:color w:val="auto"/>
                <w:kern w:val="2"/>
                <w:sz w:val="24"/>
                <w:szCs w:val="24"/>
                <w:highlight w:val="none"/>
                <w:lang w:val="en-US" w:eastAsia="zh-CN" w:bidi="ar-SA"/>
              </w:rPr>
            </w:pPr>
            <w:r>
              <w:rPr>
                <w:rFonts w:hint="eastAsia" w:ascii="宋体" w:cs="宋体"/>
                <w:b w:val="0"/>
                <w:color w:val="auto"/>
                <w:sz w:val="24"/>
                <w:szCs w:val="24"/>
                <w:highlight w:val="none"/>
                <w:lang w:eastAsia="zh-CN"/>
              </w:rPr>
              <w:t>本项目总服务期限最长不超过3年，首次签订1年合同，首年履约完成后对成交供应商进行评价，评价得分高于80分（含）的成交供应商在采购人后续年度预算到位的情况下，可续签后续2年合同（合同1年1签），评价得分低于80分的不再续签。续签期间成交单价均不高于首次签订合同约定的对应成交单价。</w:t>
            </w:r>
          </w:p>
        </w:tc>
        <w:tc>
          <w:tcPr>
            <w:tcW w:w="2523" w:type="dxa"/>
            <w:noWrap w:val="0"/>
            <w:vAlign w:val="center"/>
          </w:tcPr>
          <w:p w14:paraId="4C0EBA1B">
            <w:pPr>
              <w:pStyle w:val="54"/>
              <w:pageBreakBefore w:val="0"/>
              <w:kinsoku/>
              <w:wordWrap/>
              <w:overflowPunct/>
              <w:bidi w:val="0"/>
              <w:jc w:val="center"/>
              <w:textAlignment w:val="auto"/>
              <w:outlineLvl w:val="9"/>
              <w:rPr>
                <w:rFonts w:hint="eastAsia" w:ascii="宋体"/>
                <w:color w:val="auto"/>
                <w:highlight w:val="none"/>
              </w:rPr>
            </w:pPr>
          </w:p>
        </w:tc>
        <w:tc>
          <w:tcPr>
            <w:tcW w:w="810" w:type="dxa"/>
            <w:noWrap w:val="0"/>
            <w:vAlign w:val="center"/>
          </w:tcPr>
          <w:p w14:paraId="51E6D6D0">
            <w:pPr>
              <w:pageBreakBefore w:val="0"/>
              <w:kinsoku/>
              <w:wordWrap/>
              <w:overflowPunct/>
              <w:bidi w:val="0"/>
              <w:jc w:val="center"/>
              <w:textAlignment w:val="auto"/>
              <w:outlineLvl w:val="9"/>
              <w:rPr>
                <w:rFonts w:hint="eastAsia" w:ascii="宋体"/>
                <w:color w:val="auto"/>
                <w:sz w:val="24"/>
                <w:highlight w:val="none"/>
              </w:rPr>
            </w:pPr>
          </w:p>
        </w:tc>
      </w:tr>
      <w:tr w14:paraId="5824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62BC8969">
            <w:pPr>
              <w:pageBreakBefore w:val="0"/>
              <w:kinsoku/>
              <w:wordWrap/>
              <w:overflowPunct/>
              <w:bidi w:val="0"/>
              <w:jc w:val="center"/>
              <w:textAlignment w:val="auto"/>
              <w:outlineLvl w:val="9"/>
              <w:rPr>
                <w:rFonts w:hint="eastAsia" w:ascii="宋体" w:eastAsia="宋体"/>
                <w:color w:val="auto"/>
                <w:sz w:val="24"/>
                <w:highlight w:val="none"/>
                <w:lang w:val="en-US" w:eastAsia="zh-CN"/>
              </w:rPr>
            </w:pPr>
            <w:r>
              <w:rPr>
                <w:rFonts w:hint="eastAsia" w:ascii="宋体"/>
                <w:color w:val="auto"/>
                <w:sz w:val="24"/>
                <w:highlight w:val="none"/>
                <w:lang w:val="en-US" w:eastAsia="zh-CN"/>
              </w:rPr>
              <w:t>4</w:t>
            </w:r>
          </w:p>
        </w:tc>
        <w:tc>
          <w:tcPr>
            <w:tcW w:w="1888" w:type="dxa"/>
            <w:noWrap w:val="0"/>
            <w:vAlign w:val="center"/>
          </w:tcPr>
          <w:p w14:paraId="41578D2A">
            <w:pPr>
              <w:pStyle w:val="51"/>
              <w:pageBreakBefore w:val="0"/>
              <w:widowControl w:val="0"/>
              <w:kinsoku/>
              <w:wordWrap/>
              <w:overflowPunct/>
              <w:bidi w:val="0"/>
              <w:spacing w:before="0" w:beforeAutospacing="0" w:after="0" w:afterAutospacing="0"/>
              <w:textAlignment w:val="auto"/>
              <w:outlineLvl w:val="9"/>
              <w:rPr>
                <w:rFonts w:ascii="宋体" w:cs="宋体"/>
                <w:b w:val="0"/>
                <w:color w:val="auto"/>
                <w:sz w:val="24"/>
                <w:szCs w:val="24"/>
                <w:highlight w:val="none"/>
              </w:rPr>
            </w:pPr>
            <w:r>
              <w:rPr>
                <w:rFonts w:hint="eastAsia" w:ascii="宋体" w:cs="宋体"/>
                <w:b w:val="0"/>
                <w:color w:val="auto"/>
                <w:sz w:val="24"/>
                <w:szCs w:val="24"/>
                <w:highlight w:val="none"/>
                <w:lang w:eastAsia="zh-CN"/>
              </w:rPr>
              <w:t>询比文件</w:t>
            </w:r>
            <w:r>
              <w:rPr>
                <w:rFonts w:hint="eastAsia" w:ascii="宋体" w:cs="宋体"/>
                <w:b w:val="0"/>
                <w:color w:val="auto"/>
                <w:sz w:val="24"/>
                <w:szCs w:val="24"/>
                <w:highlight w:val="none"/>
              </w:rPr>
              <w:t>其他要求</w:t>
            </w:r>
          </w:p>
        </w:tc>
        <w:tc>
          <w:tcPr>
            <w:tcW w:w="2577" w:type="dxa"/>
            <w:noWrap w:val="0"/>
            <w:vAlign w:val="center"/>
          </w:tcPr>
          <w:p w14:paraId="35DC87F9">
            <w:pPr>
              <w:pageBreakBefore w:val="0"/>
              <w:kinsoku/>
              <w:wordWrap/>
              <w:overflowPunct/>
              <w:bidi w:val="0"/>
              <w:jc w:val="center"/>
              <w:textAlignment w:val="auto"/>
              <w:outlineLvl w:val="9"/>
              <w:rPr>
                <w:rFonts w:hint="eastAsia" w:ascii="宋体"/>
                <w:color w:val="auto"/>
                <w:sz w:val="24"/>
                <w:highlight w:val="none"/>
              </w:rPr>
            </w:pPr>
            <w:r>
              <w:rPr>
                <w:rFonts w:hint="eastAsia" w:ascii="宋体"/>
                <w:color w:val="auto"/>
                <w:sz w:val="24"/>
                <w:highlight w:val="none"/>
                <w:lang w:eastAsia="zh-CN"/>
              </w:rPr>
              <w:t>询比文件</w:t>
            </w:r>
            <w:r>
              <w:rPr>
                <w:rFonts w:hint="eastAsia" w:ascii="宋体"/>
                <w:color w:val="auto"/>
                <w:sz w:val="24"/>
                <w:highlight w:val="none"/>
              </w:rPr>
              <w:t>其他要求</w:t>
            </w:r>
          </w:p>
        </w:tc>
        <w:tc>
          <w:tcPr>
            <w:tcW w:w="2523" w:type="dxa"/>
            <w:noWrap w:val="0"/>
            <w:vAlign w:val="center"/>
          </w:tcPr>
          <w:p w14:paraId="37EFDB23">
            <w:pPr>
              <w:pageBreakBefore w:val="0"/>
              <w:kinsoku/>
              <w:wordWrap/>
              <w:overflowPunct/>
              <w:bidi w:val="0"/>
              <w:jc w:val="center"/>
              <w:textAlignment w:val="auto"/>
              <w:outlineLvl w:val="9"/>
              <w:rPr>
                <w:rFonts w:hint="eastAsia" w:ascii="宋体"/>
                <w:color w:val="auto"/>
                <w:sz w:val="24"/>
                <w:highlight w:val="none"/>
              </w:rPr>
            </w:pPr>
            <w:r>
              <w:rPr>
                <w:rFonts w:hint="eastAsia" w:ascii="宋体"/>
                <w:color w:val="auto"/>
                <w:sz w:val="24"/>
                <w:highlight w:val="none"/>
              </w:rPr>
              <w:t>完全响应</w:t>
            </w:r>
            <w:r>
              <w:rPr>
                <w:rFonts w:hint="eastAsia" w:ascii="宋体"/>
                <w:color w:val="auto"/>
                <w:sz w:val="24"/>
                <w:highlight w:val="none"/>
                <w:lang w:eastAsia="zh-CN"/>
              </w:rPr>
              <w:t>询比文件</w:t>
            </w:r>
            <w:r>
              <w:rPr>
                <w:rFonts w:hint="eastAsia" w:ascii="宋体"/>
                <w:color w:val="auto"/>
                <w:sz w:val="24"/>
                <w:highlight w:val="none"/>
              </w:rPr>
              <w:t>其他要求。</w:t>
            </w:r>
          </w:p>
        </w:tc>
        <w:tc>
          <w:tcPr>
            <w:tcW w:w="810" w:type="dxa"/>
            <w:noWrap w:val="0"/>
            <w:vAlign w:val="center"/>
          </w:tcPr>
          <w:p w14:paraId="03FD6AF2">
            <w:pPr>
              <w:pageBreakBefore w:val="0"/>
              <w:kinsoku/>
              <w:wordWrap/>
              <w:overflowPunct/>
              <w:bidi w:val="0"/>
              <w:jc w:val="center"/>
              <w:textAlignment w:val="auto"/>
              <w:outlineLvl w:val="9"/>
              <w:rPr>
                <w:rFonts w:hint="eastAsia" w:ascii="宋体"/>
                <w:color w:val="auto"/>
                <w:sz w:val="24"/>
                <w:highlight w:val="none"/>
              </w:rPr>
            </w:pPr>
          </w:p>
        </w:tc>
      </w:tr>
      <w:tr w14:paraId="2759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37C044E7">
            <w:pPr>
              <w:pageBreakBefore w:val="0"/>
              <w:kinsoku/>
              <w:wordWrap/>
              <w:overflowPunct/>
              <w:bidi w:val="0"/>
              <w:jc w:val="center"/>
              <w:textAlignment w:val="auto"/>
              <w:outlineLvl w:val="9"/>
              <w:rPr>
                <w:rFonts w:hint="default" w:ascii="宋体" w:eastAsia="宋体"/>
                <w:color w:val="auto"/>
                <w:sz w:val="24"/>
                <w:highlight w:val="none"/>
                <w:lang w:val="en-US" w:eastAsia="zh-CN"/>
              </w:rPr>
            </w:pPr>
            <w:r>
              <w:rPr>
                <w:rFonts w:hint="eastAsia" w:ascii="宋体" w:eastAsia="宋体"/>
                <w:color w:val="auto"/>
                <w:sz w:val="24"/>
                <w:highlight w:val="none"/>
                <w:lang w:val="en-US" w:eastAsia="zh-CN"/>
              </w:rPr>
              <w:t>5</w:t>
            </w:r>
          </w:p>
        </w:tc>
        <w:tc>
          <w:tcPr>
            <w:tcW w:w="1888" w:type="dxa"/>
            <w:noWrap w:val="0"/>
            <w:vAlign w:val="center"/>
          </w:tcPr>
          <w:p w14:paraId="3417FFEA">
            <w:pPr>
              <w:pStyle w:val="51"/>
              <w:pageBreakBefore w:val="0"/>
              <w:widowControl w:val="0"/>
              <w:kinsoku/>
              <w:wordWrap/>
              <w:overflowPunct/>
              <w:bidi w:val="0"/>
              <w:spacing w:before="0" w:beforeAutospacing="0" w:after="0" w:afterAutospacing="0"/>
              <w:textAlignment w:val="auto"/>
              <w:outlineLvl w:val="9"/>
              <w:rPr>
                <w:rFonts w:hint="default" w:ascii="宋体" w:eastAsia="宋体" w:cs="宋体"/>
                <w:b w:val="0"/>
                <w:color w:val="auto"/>
                <w:sz w:val="24"/>
                <w:szCs w:val="24"/>
                <w:highlight w:val="none"/>
                <w:lang w:val="en-US" w:eastAsia="zh-CN"/>
              </w:rPr>
            </w:pPr>
            <w:r>
              <w:rPr>
                <w:rFonts w:hint="eastAsia" w:ascii="宋体" w:cs="宋体"/>
                <w:b w:val="0"/>
                <w:color w:val="auto"/>
                <w:sz w:val="24"/>
                <w:szCs w:val="24"/>
                <w:highlight w:val="none"/>
                <w:lang w:val="en-US" w:eastAsia="zh-CN"/>
              </w:rPr>
              <w:t>...</w:t>
            </w:r>
          </w:p>
        </w:tc>
        <w:tc>
          <w:tcPr>
            <w:tcW w:w="2577" w:type="dxa"/>
            <w:noWrap w:val="0"/>
            <w:vAlign w:val="center"/>
          </w:tcPr>
          <w:p w14:paraId="2AFF1AE4">
            <w:pPr>
              <w:pageBreakBefore w:val="0"/>
              <w:kinsoku/>
              <w:wordWrap/>
              <w:overflowPunct/>
              <w:bidi w:val="0"/>
              <w:jc w:val="center"/>
              <w:textAlignment w:val="auto"/>
              <w:outlineLvl w:val="9"/>
              <w:rPr>
                <w:rFonts w:hint="eastAsia" w:ascii="宋体"/>
                <w:color w:val="auto"/>
                <w:sz w:val="24"/>
                <w:highlight w:val="none"/>
              </w:rPr>
            </w:pPr>
          </w:p>
        </w:tc>
        <w:tc>
          <w:tcPr>
            <w:tcW w:w="2523" w:type="dxa"/>
            <w:noWrap w:val="0"/>
            <w:vAlign w:val="center"/>
          </w:tcPr>
          <w:p w14:paraId="05A704D3">
            <w:pPr>
              <w:pageBreakBefore w:val="0"/>
              <w:kinsoku/>
              <w:wordWrap/>
              <w:overflowPunct/>
              <w:bidi w:val="0"/>
              <w:jc w:val="center"/>
              <w:textAlignment w:val="auto"/>
              <w:outlineLvl w:val="9"/>
              <w:rPr>
                <w:rFonts w:hint="eastAsia" w:ascii="宋体"/>
                <w:color w:val="auto"/>
                <w:sz w:val="24"/>
                <w:highlight w:val="none"/>
              </w:rPr>
            </w:pPr>
          </w:p>
        </w:tc>
        <w:tc>
          <w:tcPr>
            <w:tcW w:w="810" w:type="dxa"/>
            <w:noWrap w:val="0"/>
            <w:vAlign w:val="center"/>
          </w:tcPr>
          <w:p w14:paraId="1B8779F8">
            <w:pPr>
              <w:pageBreakBefore w:val="0"/>
              <w:kinsoku/>
              <w:wordWrap/>
              <w:overflowPunct/>
              <w:bidi w:val="0"/>
              <w:jc w:val="center"/>
              <w:textAlignment w:val="auto"/>
              <w:outlineLvl w:val="9"/>
              <w:rPr>
                <w:rFonts w:hint="eastAsia" w:ascii="宋体"/>
                <w:color w:val="auto"/>
                <w:sz w:val="24"/>
                <w:highlight w:val="none"/>
              </w:rPr>
            </w:pPr>
          </w:p>
        </w:tc>
      </w:tr>
    </w:tbl>
    <w:p w14:paraId="46567343">
      <w:pPr>
        <w:pageBreakBefore w:val="0"/>
        <w:kinsoku/>
        <w:wordWrap/>
        <w:overflowPunct/>
        <w:bidi w:val="0"/>
        <w:spacing w:line="360" w:lineRule="auto"/>
        <w:textAlignment w:val="auto"/>
        <w:outlineLvl w:val="9"/>
        <w:rPr>
          <w:rFonts w:hint="eastAsia" w:ascii="宋体" w:hAnsi="宋体" w:cs="宋体"/>
          <w:b/>
          <w:bCs/>
          <w:color w:val="auto"/>
          <w:sz w:val="24"/>
          <w:highlight w:val="none"/>
        </w:rPr>
      </w:pPr>
      <w:bookmarkStart w:id="55" w:name="_Toc520986200"/>
      <w:r>
        <w:rPr>
          <w:rFonts w:hint="eastAsia" w:ascii="宋体" w:hAnsi="宋体" w:cs="宋体"/>
          <w:b/>
          <w:bCs/>
          <w:color w:val="auto"/>
          <w:sz w:val="24"/>
          <w:highlight w:val="none"/>
        </w:rPr>
        <w:t>注：供应商应根据询比文件要求填写。</w:t>
      </w:r>
    </w:p>
    <w:p w14:paraId="67C3B1A3">
      <w:pPr>
        <w:pageBreakBefore w:val="0"/>
        <w:kinsoku/>
        <w:wordWrap/>
        <w:overflowPunct/>
        <w:bidi w:val="0"/>
        <w:spacing w:before="156" w:after="156" w:line="360" w:lineRule="auto"/>
        <w:ind w:firstLine="236" w:firstLineChars="98"/>
        <w:jc w:val="center"/>
        <w:textAlignment w:val="auto"/>
        <w:outlineLvl w:val="9"/>
        <w:rPr>
          <w:rFonts w:hint="eastAsia" w:ascii="宋体" w:cs="@仿宋_GB2312"/>
          <w:b/>
          <w:bCs/>
          <w:color w:val="auto"/>
          <w:sz w:val="24"/>
          <w:szCs w:val="24"/>
          <w:highlight w:val="none"/>
        </w:rPr>
      </w:pPr>
      <w:r>
        <w:rPr>
          <w:rFonts w:hint="eastAsia" w:ascii="宋体" w:cs="@仿宋_GB2312"/>
          <w:b/>
          <w:bCs/>
          <w:color w:val="auto"/>
          <w:sz w:val="24"/>
          <w:szCs w:val="24"/>
          <w:highlight w:val="none"/>
        </w:rPr>
        <w:br w:type="page"/>
      </w:r>
      <w:bookmarkEnd w:id="55"/>
      <w:r>
        <w:rPr>
          <w:rFonts w:hint="eastAsia" w:ascii="宋体" w:cs="@仿宋_GB2312"/>
          <w:b/>
          <w:bCs/>
          <w:color w:val="auto"/>
          <w:sz w:val="24"/>
          <w:szCs w:val="24"/>
          <w:highlight w:val="none"/>
          <w:lang w:val="en-US" w:eastAsia="zh-CN"/>
        </w:rPr>
        <w:t>九</w:t>
      </w:r>
      <w:r>
        <w:rPr>
          <w:rFonts w:hint="eastAsia" w:ascii="宋体" w:cs="@仿宋_GB2312"/>
          <w:b/>
          <w:bCs/>
          <w:color w:val="auto"/>
          <w:sz w:val="24"/>
          <w:szCs w:val="24"/>
          <w:highlight w:val="none"/>
        </w:rPr>
        <w:t>、询比业绩承诺函</w:t>
      </w:r>
    </w:p>
    <w:p w14:paraId="31E0E1EC">
      <w:pPr>
        <w:pageBreakBefore w:val="0"/>
        <w:kinsoku/>
        <w:wordWrap/>
        <w:overflowPunct/>
        <w:bidi w:val="0"/>
        <w:textAlignment w:val="auto"/>
        <w:outlineLvl w:val="9"/>
        <w:rPr>
          <w:rFonts w:eastAsia="@仿宋_GB2312" w:cs="@仿宋_GB2312"/>
          <w:color w:val="auto"/>
          <w:highlight w:val="none"/>
        </w:rPr>
      </w:pPr>
    </w:p>
    <w:p w14:paraId="400F0CA9">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我公司承诺：响应文件中所提供的业绩均真实有效，若被发现存在任何虚假、隐瞒情况，我公司承担由此产生的一切后果。</w:t>
      </w:r>
    </w:p>
    <w:p w14:paraId="357BFEEA">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rPr>
      </w:pPr>
    </w:p>
    <w:p w14:paraId="21C4E91B">
      <w:pPr>
        <w:pageBreakBefore w:val="0"/>
        <w:kinsoku/>
        <w:wordWrap/>
        <w:overflowPunct/>
        <w:bidi w:val="0"/>
        <w:spacing w:line="360" w:lineRule="auto"/>
        <w:ind w:firstLine="3840" w:firstLineChars="16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供应商公章：</w:t>
      </w:r>
      <w:r>
        <w:rPr>
          <w:rFonts w:hint="eastAsia" w:ascii="宋体" w:cs="宋体"/>
          <w:color w:val="auto"/>
          <w:sz w:val="24"/>
          <w:szCs w:val="24"/>
          <w:highlight w:val="none"/>
          <w:u w:val="single"/>
        </w:rPr>
        <w:t xml:space="preserve">                     </w:t>
      </w:r>
    </w:p>
    <w:p w14:paraId="2F228570">
      <w:pPr>
        <w:pageBreakBefore w:val="0"/>
        <w:kinsoku/>
        <w:wordWrap/>
        <w:overflowPunct/>
        <w:bidi w:val="0"/>
        <w:spacing w:line="360" w:lineRule="auto"/>
        <w:ind w:firstLine="3840" w:firstLineChars="16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日      期：</w:t>
      </w:r>
      <w:r>
        <w:rPr>
          <w:rFonts w:hint="eastAsia" w:ascii="宋体" w:cs="宋体"/>
          <w:color w:val="auto"/>
          <w:sz w:val="24"/>
          <w:szCs w:val="24"/>
          <w:highlight w:val="none"/>
          <w:u w:val="single"/>
        </w:rPr>
        <w:t xml:space="preserve">                     </w:t>
      </w:r>
    </w:p>
    <w:p w14:paraId="7D9AD599">
      <w:pPr>
        <w:pageBreakBefore w:val="0"/>
        <w:kinsoku/>
        <w:wordWrap/>
        <w:overflowPunct/>
        <w:bidi w:val="0"/>
        <w:spacing w:line="360" w:lineRule="auto"/>
        <w:textAlignment w:val="auto"/>
        <w:outlineLvl w:val="9"/>
        <w:rPr>
          <w:rFonts w:eastAsia="@仿宋_GB2312" w:cs="@仿宋_GB2312"/>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174"/>
        <w:gridCol w:w="2320"/>
        <w:gridCol w:w="1069"/>
      </w:tblGrid>
      <w:tr w14:paraId="3FC4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59" w:type="dxa"/>
            <w:noWrap w:val="0"/>
            <w:vAlign w:val="center"/>
          </w:tcPr>
          <w:p w14:paraId="33C2589C">
            <w:pPr>
              <w:pageBreakBefore w:val="0"/>
              <w:kinsoku/>
              <w:wordWrap/>
              <w:overflowPunct/>
              <w:bidi w:val="0"/>
              <w:spacing w:line="360" w:lineRule="auto"/>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序号</w:t>
            </w:r>
          </w:p>
        </w:tc>
        <w:tc>
          <w:tcPr>
            <w:tcW w:w="4174" w:type="dxa"/>
            <w:noWrap w:val="0"/>
            <w:vAlign w:val="center"/>
          </w:tcPr>
          <w:p w14:paraId="4B747724">
            <w:pPr>
              <w:pageBreakBefore w:val="0"/>
              <w:kinsoku/>
              <w:wordWrap/>
              <w:overflowPunct/>
              <w:bidi w:val="0"/>
              <w:spacing w:line="360" w:lineRule="auto"/>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项目名称</w:t>
            </w:r>
          </w:p>
        </w:tc>
        <w:tc>
          <w:tcPr>
            <w:tcW w:w="2320" w:type="dxa"/>
            <w:noWrap w:val="0"/>
            <w:vAlign w:val="center"/>
          </w:tcPr>
          <w:p w14:paraId="339EEF03">
            <w:pPr>
              <w:pageBreakBefore w:val="0"/>
              <w:widowControl/>
              <w:kinsoku/>
              <w:wordWrap/>
              <w:overflowPunct/>
              <w:bidi w:val="0"/>
              <w:spacing w:line="360" w:lineRule="auto"/>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供货范围/内容</w:t>
            </w:r>
          </w:p>
        </w:tc>
        <w:tc>
          <w:tcPr>
            <w:tcW w:w="1069" w:type="dxa"/>
            <w:noWrap w:val="0"/>
            <w:vAlign w:val="center"/>
          </w:tcPr>
          <w:p w14:paraId="04EA694C">
            <w:pPr>
              <w:pageBreakBefore w:val="0"/>
              <w:kinsoku/>
              <w:wordWrap/>
              <w:overflowPunct/>
              <w:bidi w:val="0"/>
              <w:spacing w:line="360" w:lineRule="auto"/>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备注</w:t>
            </w:r>
          </w:p>
        </w:tc>
      </w:tr>
      <w:tr w14:paraId="4C22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341CD1A">
            <w:pPr>
              <w:pageBreakBefore w:val="0"/>
              <w:kinsoku/>
              <w:wordWrap/>
              <w:overflowPunct/>
              <w:bidi w:val="0"/>
              <w:spacing w:line="360" w:lineRule="auto"/>
              <w:jc w:val="center"/>
              <w:textAlignment w:val="auto"/>
              <w:outlineLvl w:val="9"/>
              <w:rPr>
                <w:rFonts w:hint="eastAsia" w:ascii="宋体" w:cs="宋体"/>
                <w:bCs/>
                <w:color w:val="auto"/>
                <w:sz w:val="24"/>
                <w:szCs w:val="24"/>
                <w:highlight w:val="none"/>
              </w:rPr>
            </w:pPr>
            <w:r>
              <w:rPr>
                <w:rFonts w:hint="eastAsia" w:ascii="宋体" w:cs="宋体"/>
                <w:bCs/>
                <w:color w:val="auto"/>
                <w:sz w:val="24"/>
                <w:szCs w:val="24"/>
                <w:highlight w:val="none"/>
              </w:rPr>
              <w:t>1</w:t>
            </w:r>
          </w:p>
        </w:tc>
        <w:tc>
          <w:tcPr>
            <w:tcW w:w="4174" w:type="dxa"/>
            <w:noWrap w:val="0"/>
            <w:vAlign w:val="center"/>
          </w:tcPr>
          <w:p w14:paraId="59300A71">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48F300C4">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1D4ABB5A">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r w14:paraId="57C4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77AD2DF3">
            <w:pPr>
              <w:pageBreakBefore w:val="0"/>
              <w:kinsoku/>
              <w:wordWrap/>
              <w:overflowPunct/>
              <w:bidi w:val="0"/>
              <w:spacing w:line="360" w:lineRule="auto"/>
              <w:jc w:val="center"/>
              <w:textAlignment w:val="auto"/>
              <w:outlineLvl w:val="9"/>
              <w:rPr>
                <w:rFonts w:hint="eastAsia" w:ascii="宋体" w:cs="宋体"/>
                <w:bCs/>
                <w:color w:val="auto"/>
                <w:sz w:val="24"/>
                <w:szCs w:val="24"/>
                <w:highlight w:val="none"/>
              </w:rPr>
            </w:pPr>
            <w:r>
              <w:rPr>
                <w:rFonts w:hint="eastAsia" w:ascii="宋体" w:cs="宋体"/>
                <w:bCs/>
                <w:color w:val="auto"/>
                <w:sz w:val="24"/>
                <w:szCs w:val="24"/>
                <w:highlight w:val="none"/>
              </w:rPr>
              <w:t>2</w:t>
            </w:r>
          </w:p>
        </w:tc>
        <w:tc>
          <w:tcPr>
            <w:tcW w:w="4174" w:type="dxa"/>
            <w:noWrap w:val="0"/>
            <w:vAlign w:val="center"/>
          </w:tcPr>
          <w:p w14:paraId="3FCF1C07">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712723F4">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69A28183">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r w14:paraId="0F16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8339BF5">
            <w:pPr>
              <w:pageBreakBefore w:val="0"/>
              <w:kinsoku/>
              <w:wordWrap/>
              <w:overflowPunct/>
              <w:bidi w:val="0"/>
              <w:spacing w:line="360" w:lineRule="auto"/>
              <w:jc w:val="center"/>
              <w:textAlignment w:val="auto"/>
              <w:outlineLvl w:val="9"/>
              <w:rPr>
                <w:rFonts w:hint="eastAsia" w:ascii="宋体" w:cs="宋体"/>
                <w:bCs/>
                <w:color w:val="auto"/>
                <w:sz w:val="24"/>
                <w:szCs w:val="24"/>
                <w:highlight w:val="none"/>
              </w:rPr>
            </w:pPr>
            <w:r>
              <w:rPr>
                <w:rFonts w:hint="eastAsia" w:ascii="宋体" w:cs="宋体"/>
                <w:bCs/>
                <w:color w:val="auto"/>
                <w:sz w:val="24"/>
                <w:szCs w:val="24"/>
                <w:highlight w:val="none"/>
              </w:rPr>
              <w:t>3</w:t>
            </w:r>
          </w:p>
        </w:tc>
        <w:tc>
          <w:tcPr>
            <w:tcW w:w="4174" w:type="dxa"/>
            <w:noWrap w:val="0"/>
            <w:vAlign w:val="center"/>
          </w:tcPr>
          <w:p w14:paraId="5CE4DFAF">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442ABA49">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6E8825C7">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r w14:paraId="5294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560589C">
            <w:pPr>
              <w:pageBreakBefore w:val="0"/>
              <w:kinsoku/>
              <w:wordWrap/>
              <w:overflowPunct/>
              <w:bidi w:val="0"/>
              <w:spacing w:line="360" w:lineRule="auto"/>
              <w:jc w:val="center"/>
              <w:textAlignment w:val="auto"/>
              <w:outlineLvl w:val="9"/>
              <w:rPr>
                <w:rFonts w:hint="eastAsia" w:ascii="宋体" w:cs="宋体"/>
                <w:bCs/>
                <w:color w:val="auto"/>
                <w:sz w:val="24"/>
                <w:szCs w:val="24"/>
                <w:highlight w:val="none"/>
              </w:rPr>
            </w:pPr>
            <w:r>
              <w:rPr>
                <w:rFonts w:hint="eastAsia" w:ascii="宋体" w:cs="宋体"/>
                <w:bCs/>
                <w:color w:val="auto"/>
                <w:sz w:val="24"/>
                <w:szCs w:val="24"/>
                <w:highlight w:val="none"/>
              </w:rPr>
              <w:t>4</w:t>
            </w:r>
          </w:p>
        </w:tc>
        <w:tc>
          <w:tcPr>
            <w:tcW w:w="4174" w:type="dxa"/>
            <w:noWrap w:val="0"/>
            <w:vAlign w:val="center"/>
          </w:tcPr>
          <w:p w14:paraId="2CEF1863">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51AE3021">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47D63116">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r w14:paraId="5503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B7FBC30">
            <w:pPr>
              <w:pageBreakBefore w:val="0"/>
              <w:kinsoku/>
              <w:wordWrap/>
              <w:overflowPunct/>
              <w:bidi w:val="0"/>
              <w:spacing w:line="360" w:lineRule="auto"/>
              <w:jc w:val="center"/>
              <w:textAlignment w:val="auto"/>
              <w:outlineLvl w:val="9"/>
              <w:rPr>
                <w:rFonts w:hint="eastAsia" w:ascii="宋体" w:cs="宋体"/>
                <w:bCs/>
                <w:color w:val="auto"/>
                <w:sz w:val="24"/>
                <w:szCs w:val="24"/>
                <w:highlight w:val="none"/>
              </w:rPr>
            </w:pPr>
            <w:r>
              <w:rPr>
                <w:rFonts w:hint="eastAsia" w:ascii="宋体" w:cs="宋体"/>
                <w:bCs/>
                <w:color w:val="auto"/>
                <w:sz w:val="24"/>
                <w:szCs w:val="24"/>
                <w:highlight w:val="none"/>
              </w:rPr>
              <w:t>5</w:t>
            </w:r>
          </w:p>
        </w:tc>
        <w:tc>
          <w:tcPr>
            <w:tcW w:w="4174" w:type="dxa"/>
            <w:noWrap w:val="0"/>
            <w:vAlign w:val="center"/>
          </w:tcPr>
          <w:p w14:paraId="060A6CCE">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6DBB8576">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7CA8012D">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r w14:paraId="7FC3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7C9BE36">
            <w:pPr>
              <w:pageBreakBefore w:val="0"/>
              <w:kinsoku/>
              <w:wordWrap/>
              <w:overflowPunct/>
              <w:bidi w:val="0"/>
              <w:spacing w:line="360" w:lineRule="auto"/>
              <w:jc w:val="center"/>
              <w:textAlignment w:val="auto"/>
              <w:outlineLvl w:val="9"/>
              <w:rPr>
                <w:rFonts w:hint="eastAsia" w:ascii="宋体" w:cs="宋体"/>
                <w:b/>
                <w:color w:val="auto"/>
                <w:sz w:val="24"/>
                <w:szCs w:val="24"/>
                <w:highlight w:val="none"/>
              </w:rPr>
            </w:pPr>
            <w:r>
              <w:rPr>
                <w:rFonts w:hint="eastAsia" w:ascii="宋体" w:cs="宋体"/>
                <w:b/>
                <w:color w:val="auto"/>
                <w:sz w:val="24"/>
                <w:szCs w:val="24"/>
                <w:highlight w:val="none"/>
              </w:rPr>
              <w:t>……</w:t>
            </w:r>
          </w:p>
        </w:tc>
        <w:tc>
          <w:tcPr>
            <w:tcW w:w="4174" w:type="dxa"/>
            <w:noWrap w:val="0"/>
            <w:vAlign w:val="center"/>
          </w:tcPr>
          <w:p w14:paraId="121CFDF9">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2320" w:type="dxa"/>
            <w:noWrap w:val="0"/>
            <w:vAlign w:val="center"/>
          </w:tcPr>
          <w:p w14:paraId="08A647F0">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c>
          <w:tcPr>
            <w:tcW w:w="1069" w:type="dxa"/>
            <w:noWrap w:val="0"/>
            <w:vAlign w:val="center"/>
          </w:tcPr>
          <w:p w14:paraId="002BCC96">
            <w:pPr>
              <w:pageBreakBefore w:val="0"/>
              <w:kinsoku/>
              <w:wordWrap/>
              <w:overflowPunct/>
              <w:bidi w:val="0"/>
              <w:spacing w:line="360" w:lineRule="auto"/>
              <w:textAlignment w:val="auto"/>
              <w:outlineLvl w:val="9"/>
              <w:rPr>
                <w:rFonts w:hint="eastAsia" w:ascii="宋体" w:cs="宋体"/>
                <w:b/>
                <w:color w:val="auto"/>
                <w:sz w:val="24"/>
                <w:szCs w:val="24"/>
                <w:highlight w:val="none"/>
              </w:rPr>
            </w:pPr>
          </w:p>
        </w:tc>
      </w:tr>
    </w:tbl>
    <w:p w14:paraId="1040B89D">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备注：</w:t>
      </w:r>
    </w:p>
    <w:p w14:paraId="09330BCB">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 xml:space="preserve">1.表中所列业绩应为供应商满足本询比文件要求的业绩； </w:t>
      </w:r>
    </w:p>
    <w:p w14:paraId="7F135DB6">
      <w:pPr>
        <w:pageBreakBefore w:val="0"/>
        <w:kinsoku/>
        <w:wordWrap/>
        <w:overflowPunct/>
        <w:bidi w:val="0"/>
        <w:spacing w:line="360" w:lineRule="auto"/>
        <w:ind w:firstLine="480" w:firstLineChars="200"/>
        <w:textAlignment w:val="auto"/>
        <w:outlineLvl w:val="9"/>
        <w:rPr>
          <w:rFonts w:hint="eastAsia" w:ascii="宋体" w:cs="宋体"/>
          <w:color w:val="auto"/>
          <w:sz w:val="24"/>
          <w:szCs w:val="24"/>
          <w:highlight w:val="none"/>
        </w:rPr>
      </w:pPr>
      <w:r>
        <w:rPr>
          <w:rFonts w:hint="eastAsia" w:ascii="宋体" w:cs="宋体"/>
          <w:color w:val="auto"/>
          <w:sz w:val="24"/>
          <w:szCs w:val="24"/>
          <w:highlight w:val="none"/>
        </w:rPr>
        <w:t>2.</w:t>
      </w:r>
      <w:r>
        <w:rPr>
          <w:rFonts w:hint="eastAsia" w:ascii="宋体" w:cs="宋体"/>
          <w:color w:val="auto"/>
          <w:sz w:val="24"/>
          <w:szCs w:val="24"/>
          <w:highlight w:val="none"/>
          <w:lang w:eastAsia="zh-CN"/>
        </w:rPr>
        <w:t>成交供应商</w:t>
      </w:r>
      <w:r>
        <w:rPr>
          <w:rFonts w:hint="eastAsia" w:ascii="宋体" w:cs="宋体"/>
          <w:color w:val="auto"/>
          <w:sz w:val="24"/>
          <w:szCs w:val="24"/>
          <w:highlight w:val="none"/>
        </w:rPr>
        <w:t>提供的以上业绩情况，如询比文件《供应商须知前附表》有约定。</w:t>
      </w:r>
    </w:p>
    <w:p w14:paraId="3A75423C">
      <w:pPr>
        <w:pageBreakBefore w:val="0"/>
        <w:widowControl/>
        <w:kinsoku/>
        <w:wordWrap/>
        <w:overflowPunct/>
        <w:bidi w:val="0"/>
        <w:jc w:val="center"/>
        <w:textAlignment w:val="auto"/>
        <w:outlineLvl w:val="9"/>
        <w:rPr>
          <w:rFonts w:hint="eastAsia" w:ascii="宋体"/>
          <w:b/>
          <w:color w:val="auto"/>
          <w:sz w:val="24"/>
          <w:highlight w:val="none"/>
        </w:rPr>
      </w:pPr>
      <w:r>
        <w:rPr>
          <w:rFonts w:hint="eastAsia" w:ascii="宋体"/>
          <w:b/>
          <w:color w:val="auto"/>
          <w:sz w:val="24"/>
          <w:highlight w:val="none"/>
        </w:rPr>
        <w:br w:type="page"/>
      </w:r>
      <w:r>
        <w:rPr>
          <w:rFonts w:hint="eastAsia" w:ascii="宋体"/>
          <w:b/>
          <w:color w:val="auto"/>
          <w:sz w:val="24"/>
          <w:highlight w:val="none"/>
          <w:lang w:val="en-US" w:eastAsia="zh-CN"/>
        </w:rPr>
        <w:t>十</w:t>
      </w:r>
      <w:r>
        <w:rPr>
          <w:rFonts w:hint="eastAsia" w:ascii="宋体"/>
          <w:b/>
          <w:color w:val="auto"/>
          <w:sz w:val="24"/>
          <w:highlight w:val="none"/>
        </w:rPr>
        <w:t>、联合协议</w:t>
      </w:r>
      <w:r>
        <w:rPr>
          <w:rFonts w:hint="eastAsia" w:ascii="宋体"/>
          <w:i/>
          <w:color w:val="auto"/>
          <w:sz w:val="24"/>
          <w:highlight w:val="none"/>
        </w:rPr>
        <w:t>（本项目不适用）</w:t>
      </w:r>
    </w:p>
    <w:p w14:paraId="73732699">
      <w:pPr>
        <w:pStyle w:val="21"/>
        <w:pageBreakBefore w:val="0"/>
        <w:kinsoku/>
        <w:wordWrap/>
        <w:overflowPunct/>
        <w:bidi w:val="0"/>
        <w:spacing w:line="240" w:lineRule="auto"/>
        <w:textAlignment w:val="auto"/>
        <w:outlineLvl w:val="9"/>
        <w:rPr>
          <w:rFonts w:hint="eastAsia" w:ascii="宋体"/>
          <w:color w:val="auto"/>
          <w:sz w:val="24"/>
          <w:highlight w:val="none"/>
        </w:rPr>
      </w:pPr>
      <w:r>
        <w:rPr>
          <w:rFonts w:hint="eastAsia" w:ascii="宋体" w:eastAsia="宋体"/>
          <w:b w:val="0"/>
          <w:i/>
          <w:color w:val="auto"/>
          <w:sz w:val="24"/>
          <w:highlight w:val="none"/>
        </w:rPr>
        <w:t>（不允许联合体参加询比或未组成联合体的，不需此件；允许联合体参加询比且供应商为联合体参加询比的，请将此件加盖公章后制成扫描件上传）</w:t>
      </w:r>
    </w:p>
    <w:p w14:paraId="37C6ECA0">
      <w:pPr>
        <w:pageBreakBefore w:val="0"/>
        <w:kinsoku/>
        <w:wordWrap/>
        <w:overflowPunct/>
        <w:bidi w:val="0"/>
        <w:spacing w:line="360" w:lineRule="auto"/>
        <w:ind w:firstLine="435"/>
        <w:textAlignment w:val="auto"/>
        <w:outlineLvl w:val="9"/>
        <w:rPr>
          <w:rFonts w:hint="eastAsia" w:ascii="宋体"/>
          <w:color w:val="auto"/>
          <w:sz w:val="24"/>
          <w:highlight w:val="none"/>
          <w:u w:val="single"/>
        </w:rPr>
      </w:pPr>
      <w:r>
        <w:rPr>
          <w:rFonts w:hint="eastAsia" w:ascii="宋体"/>
          <w:color w:val="auto"/>
          <w:sz w:val="24"/>
          <w:highlight w:val="none"/>
        </w:rPr>
        <w:t>联合体成员一名称：</w:t>
      </w:r>
      <w:r>
        <w:rPr>
          <w:rFonts w:hint="eastAsia" w:ascii="宋体"/>
          <w:color w:val="auto"/>
          <w:sz w:val="24"/>
          <w:highlight w:val="none"/>
          <w:u w:val="single"/>
        </w:rPr>
        <w:t xml:space="preserve">                       </w:t>
      </w:r>
      <w:r>
        <w:rPr>
          <w:rFonts w:hint="eastAsia" w:ascii="宋体"/>
          <w:color w:val="auto"/>
          <w:sz w:val="24"/>
          <w:highlight w:val="none"/>
        </w:rPr>
        <w:t>；</w:t>
      </w:r>
    </w:p>
    <w:p w14:paraId="72BB6A1D">
      <w:pPr>
        <w:pageBreakBefore w:val="0"/>
        <w:kinsoku/>
        <w:wordWrap/>
        <w:overflowPunct/>
        <w:bidi w:val="0"/>
        <w:spacing w:line="240" w:lineRule="auto"/>
        <w:ind w:firstLine="435"/>
        <w:textAlignment w:val="auto"/>
        <w:outlineLvl w:val="9"/>
        <w:rPr>
          <w:rFonts w:hint="eastAsia" w:ascii="宋体"/>
          <w:color w:val="auto"/>
          <w:sz w:val="24"/>
          <w:highlight w:val="none"/>
          <w:u w:val="single"/>
        </w:rPr>
      </w:pPr>
      <w:r>
        <w:rPr>
          <w:rFonts w:hint="eastAsia" w:ascii="宋体"/>
          <w:color w:val="auto"/>
          <w:sz w:val="24"/>
          <w:highlight w:val="none"/>
        </w:rPr>
        <w:t>联合体成员二名称：</w:t>
      </w:r>
      <w:r>
        <w:rPr>
          <w:rFonts w:hint="eastAsia" w:ascii="宋体"/>
          <w:color w:val="auto"/>
          <w:sz w:val="24"/>
          <w:highlight w:val="none"/>
          <w:u w:val="single"/>
        </w:rPr>
        <w:t xml:space="preserve">                       </w:t>
      </w:r>
      <w:r>
        <w:rPr>
          <w:rFonts w:hint="eastAsia" w:ascii="宋体"/>
          <w:color w:val="auto"/>
          <w:sz w:val="24"/>
          <w:highlight w:val="none"/>
        </w:rPr>
        <w:t>；</w:t>
      </w:r>
    </w:p>
    <w:p w14:paraId="0B7C4BB2">
      <w:pPr>
        <w:pageBreakBefore w:val="0"/>
        <w:kinsoku/>
        <w:wordWrap/>
        <w:overflowPunct/>
        <w:bidi w:val="0"/>
        <w:spacing w:line="240" w:lineRule="auto"/>
        <w:ind w:firstLine="435"/>
        <w:textAlignment w:val="auto"/>
        <w:outlineLvl w:val="9"/>
        <w:rPr>
          <w:rFonts w:hint="eastAsia" w:ascii="宋体"/>
          <w:color w:val="auto"/>
          <w:sz w:val="24"/>
          <w:highlight w:val="none"/>
          <w:u w:val="single"/>
        </w:rPr>
      </w:pPr>
      <w:r>
        <w:rPr>
          <w:rFonts w:hint="eastAsia" w:ascii="宋体"/>
          <w:color w:val="auto"/>
          <w:sz w:val="24"/>
          <w:highlight w:val="none"/>
        </w:rPr>
        <w:t>……</w:t>
      </w:r>
    </w:p>
    <w:p w14:paraId="1806BB64">
      <w:pPr>
        <w:pageBreakBefore w:val="0"/>
        <w:kinsoku/>
        <w:wordWrap/>
        <w:overflowPunct/>
        <w:bidi w:val="0"/>
        <w:spacing w:line="240" w:lineRule="auto"/>
        <w:ind w:firstLine="435"/>
        <w:textAlignment w:val="auto"/>
        <w:outlineLvl w:val="9"/>
        <w:rPr>
          <w:rFonts w:hint="eastAsia" w:ascii="宋体"/>
          <w:color w:val="auto"/>
          <w:sz w:val="24"/>
          <w:highlight w:val="none"/>
        </w:rPr>
      </w:pPr>
      <w:r>
        <w:rPr>
          <w:rFonts w:hint="eastAsia" w:ascii="宋体"/>
          <w:color w:val="auto"/>
          <w:sz w:val="24"/>
          <w:highlight w:val="none"/>
        </w:rPr>
        <w:t>上述各成员单位经过友好协商，自愿组成联合体，共同参加本项目的询比，现就联合体参加询比事宜订立如下协议：</w:t>
      </w:r>
    </w:p>
    <w:p w14:paraId="6BFFCEAA">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1.</w:t>
      </w:r>
      <w:r>
        <w:rPr>
          <w:rFonts w:hint="eastAsia" w:ascii="宋体"/>
          <w:color w:val="auto"/>
          <w:sz w:val="24"/>
          <w:highlight w:val="none"/>
          <w:u w:val="single"/>
        </w:rPr>
        <w:t xml:space="preserve">                </w:t>
      </w:r>
      <w:r>
        <w:rPr>
          <w:rFonts w:hint="eastAsia" w:ascii="宋体"/>
          <w:color w:val="auto"/>
          <w:sz w:val="24"/>
          <w:highlight w:val="none"/>
        </w:rPr>
        <w:t>（某成员单位名称）为联合体牵头人。</w:t>
      </w:r>
    </w:p>
    <w:p w14:paraId="7E495FBD">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2.在本项目询比阶段，联合体牵头人负责询比项目的一切组织、协调工作，并授权代理人以联合体的名义参加项目的询比，代理人在询比、合同签订过程中所签署的一切文件和处理与本次询比有关的一切事务，联合体各方均予以承认并承担法律责任。联合体成交后，联合体各方共同与采购人签订合同，就本项目对采购人承担连带责任。</w:t>
      </w:r>
    </w:p>
    <w:p w14:paraId="5C35F705">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3.联合体各成员单位内部的职责分工及各方负责内容的合同金额占总合同金额的百分比如下：</w:t>
      </w:r>
    </w:p>
    <w:p w14:paraId="0A587980">
      <w:pPr>
        <w:pageBreakBefore w:val="0"/>
        <w:kinsoku/>
        <w:wordWrap/>
        <w:overflowPunct/>
        <w:bidi w:val="0"/>
        <w:spacing w:line="360" w:lineRule="auto"/>
        <w:ind w:firstLine="435"/>
        <w:textAlignment w:val="auto"/>
        <w:outlineLvl w:val="9"/>
        <w:rPr>
          <w:rFonts w:hint="eastAsia" w:ascii="宋体"/>
          <w:color w:val="auto"/>
          <w:sz w:val="24"/>
          <w:highlight w:val="none"/>
          <w:u w:val="single"/>
        </w:rPr>
      </w:pPr>
      <w:r>
        <w:rPr>
          <w:rFonts w:hint="eastAsia" w:ascii="宋体"/>
          <w:color w:val="auto"/>
          <w:sz w:val="24"/>
          <w:highlight w:val="none"/>
        </w:rPr>
        <w:t>联合体成员一名称：</w:t>
      </w:r>
      <w:r>
        <w:rPr>
          <w:rFonts w:hint="eastAsia" w:ascii="宋体"/>
          <w:color w:val="auto"/>
          <w:sz w:val="24"/>
          <w:highlight w:val="none"/>
          <w:u w:val="single"/>
        </w:rPr>
        <w:t xml:space="preserve">          </w:t>
      </w:r>
      <w:r>
        <w:rPr>
          <w:rFonts w:hint="eastAsia" w:ascii="宋体"/>
          <w:color w:val="auto"/>
          <w:sz w:val="24"/>
          <w:highlight w:val="none"/>
        </w:rPr>
        <w:t>，承担</w:t>
      </w:r>
      <w:r>
        <w:rPr>
          <w:rFonts w:hint="eastAsia" w:ascii="宋体"/>
          <w:color w:val="auto"/>
          <w:sz w:val="24"/>
          <w:highlight w:val="none"/>
          <w:u w:val="single"/>
        </w:rPr>
        <w:t xml:space="preserve">          </w:t>
      </w:r>
      <w:r>
        <w:rPr>
          <w:rFonts w:hint="eastAsia" w:ascii="宋体"/>
          <w:color w:val="auto"/>
          <w:sz w:val="24"/>
          <w:highlight w:val="none"/>
        </w:rPr>
        <w:t>工作，负责内容的合同金额占总合同金额的百分比：</w:t>
      </w:r>
      <w:r>
        <w:rPr>
          <w:rFonts w:hint="eastAsia" w:ascii="宋体"/>
          <w:color w:val="auto"/>
          <w:sz w:val="24"/>
          <w:highlight w:val="none"/>
          <w:u w:val="single"/>
        </w:rPr>
        <w:t xml:space="preserve">    </w:t>
      </w:r>
      <w:r>
        <w:rPr>
          <w:rFonts w:hint="eastAsia" w:ascii="宋体"/>
          <w:color w:val="auto"/>
          <w:sz w:val="24"/>
          <w:highlight w:val="none"/>
        </w:rPr>
        <w:t>%；</w:t>
      </w:r>
    </w:p>
    <w:p w14:paraId="74647302">
      <w:pPr>
        <w:pageBreakBefore w:val="0"/>
        <w:kinsoku/>
        <w:wordWrap/>
        <w:overflowPunct/>
        <w:bidi w:val="0"/>
        <w:spacing w:line="360" w:lineRule="auto"/>
        <w:ind w:firstLine="435"/>
        <w:textAlignment w:val="auto"/>
        <w:outlineLvl w:val="9"/>
        <w:rPr>
          <w:rFonts w:hint="eastAsia" w:ascii="宋体"/>
          <w:color w:val="auto"/>
          <w:sz w:val="24"/>
          <w:highlight w:val="none"/>
          <w:u w:val="single"/>
        </w:rPr>
      </w:pPr>
      <w:r>
        <w:rPr>
          <w:rFonts w:hint="eastAsia" w:ascii="宋体"/>
          <w:color w:val="auto"/>
          <w:sz w:val="24"/>
          <w:highlight w:val="none"/>
        </w:rPr>
        <w:t>联合体成员二名称：</w:t>
      </w:r>
      <w:r>
        <w:rPr>
          <w:rFonts w:hint="eastAsia" w:ascii="宋体"/>
          <w:color w:val="auto"/>
          <w:sz w:val="24"/>
          <w:highlight w:val="none"/>
          <w:u w:val="single"/>
        </w:rPr>
        <w:t xml:space="preserve">          </w:t>
      </w:r>
      <w:r>
        <w:rPr>
          <w:rFonts w:hint="eastAsia" w:ascii="宋体"/>
          <w:color w:val="auto"/>
          <w:sz w:val="24"/>
          <w:highlight w:val="none"/>
        </w:rPr>
        <w:t>，承担</w:t>
      </w:r>
      <w:r>
        <w:rPr>
          <w:rFonts w:hint="eastAsia" w:ascii="宋体"/>
          <w:color w:val="auto"/>
          <w:sz w:val="24"/>
          <w:highlight w:val="none"/>
          <w:u w:val="single"/>
        </w:rPr>
        <w:t xml:space="preserve">          </w:t>
      </w:r>
      <w:r>
        <w:rPr>
          <w:rFonts w:hint="eastAsia" w:ascii="宋体"/>
          <w:color w:val="auto"/>
          <w:sz w:val="24"/>
          <w:highlight w:val="none"/>
        </w:rPr>
        <w:t>工作，负责内容的合同金额占总合同金额的百分比：</w:t>
      </w:r>
      <w:r>
        <w:rPr>
          <w:rFonts w:hint="eastAsia" w:ascii="宋体"/>
          <w:color w:val="auto"/>
          <w:sz w:val="24"/>
          <w:highlight w:val="none"/>
          <w:u w:val="single"/>
        </w:rPr>
        <w:t xml:space="preserve">    </w:t>
      </w:r>
      <w:r>
        <w:rPr>
          <w:rFonts w:hint="eastAsia" w:ascii="宋体"/>
          <w:color w:val="auto"/>
          <w:sz w:val="24"/>
          <w:highlight w:val="none"/>
        </w:rPr>
        <w:t>%；</w:t>
      </w:r>
    </w:p>
    <w:p w14:paraId="3228B8F4">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4．询比工作和联合体在成交后项目实施过程中的有关费用按各自承担的工作量分摊。</w:t>
      </w:r>
    </w:p>
    <w:p w14:paraId="0C09E991">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5．联合体成交后，本联合协议是合同的附件，对联合体各成员单位有合同约束力。</w:t>
      </w:r>
    </w:p>
    <w:p w14:paraId="72B5C3EB">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6．本协议书自签署之日起生效，联合体未成交或者合同履行完毕后自动失效。</w:t>
      </w:r>
    </w:p>
    <w:p w14:paraId="724FE55E">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联合体成员一：</w:t>
      </w:r>
      <w:r>
        <w:rPr>
          <w:rFonts w:hint="eastAsia" w:ascii="宋体"/>
          <w:color w:val="auto"/>
          <w:sz w:val="24"/>
          <w:highlight w:val="none"/>
          <w:u w:val="single"/>
        </w:rPr>
        <w:t xml:space="preserve">                       </w:t>
      </w:r>
      <w:r>
        <w:rPr>
          <w:rFonts w:hint="eastAsia" w:ascii="宋体"/>
          <w:color w:val="auto"/>
          <w:sz w:val="24"/>
          <w:highlight w:val="none"/>
        </w:rPr>
        <w:t>（公章）</w:t>
      </w:r>
    </w:p>
    <w:p w14:paraId="79A2A812">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u w:val="single"/>
        </w:rPr>
        <w:t xml:space="preserve">                         </w:t>
      </w:r>
      <w:r>
        <w:rPr>
          <w:rFonts w:hint="eastAsia" w:ascii="宋体"/>
          <w:color w:val="auto"/>
          <w:sz w:val="24"/>
          <w:highlight w:val="none"/>
        </w:rPr>
        <w:t>（签字或盖章）</w:t>
      </w:r>
    </w:p>
    <w:p w14:paraId="4EEF8A9B">
      <w:pPr>
        <w:pageBreakBefore w:val="0"/>
        <w:kinsoku/>
        <w:wordWrap/>
        <w:overflowPunct/>
        <w:bidi w:val="0"/>
        <w:spacing w:line="360" w:lineRule="auto"/>
        <w:ind w:firstLine="435"/>
        <w:textAlignment w:val="auto"/>
        <w:outlineLvl w:val="9"/>
        <w:rPr>
          <w:rFonts w:hint="eastAsia" w:ascii="宋体"/>
          <w:color w:val="auto"/>
          <w:sz w:val="24"/>
          <w:highlight w:val="none"/>
        </w:rPr>
      </w:pPr>
      <w:r>
        <w:rPr>
          <w:rFonts w:hint="eastAsia" w:ascii="宋体"/>
          <w:color w:val="auto"/>
          <w:sz w:val="24"/>
          <w:highlight w:val="none"/>
        </w:rPr>
        <w:t>联合体成员二：</w:t>
      </w:r>
      <w:r>
        <w:rPr>
          <w:rFonts w:hint="eastAsia" w:ascii="宋体"/>
          <w:color w:val="auto"/>
          <w:sz w:val="24"/>
          <w:highlight w:val="none"/>
          <w:u w:val="single"/>
        </w:rPr>
        <w:t xml:space="preserve">                       </w:t>
      </w:r>
      <w:r>
        <w:rPr>
          <w:rFonts w:hint="eastAsia" w:ascii="宋体"/>
          <w:color w:val="auto"/>
          <w:sz w:val="24"/>
          <w:highlight w:val="none"/>
        </w:rPr>
        <w:t>（公章）</w:t>
      </w:r>
    </w:p>
    <w:p w14:paraId="45C95674">
      <w:pPr>
        <w:pageBreakBefore w:val="0"/>
        <w:kinsoku/>
        <w:wordWrap/>
        <w:overflowPunct/>
        <w:bidi w:val="0"/>
        <w:spacing w:line="360" w:lineRule="auto"/>
        <w:ind w:firstLine="435"/>
        <w:textAlignment w:val="auto"/>
        <w:outlineLvl w:val="9"/>
        <w:rPr>
          <w:rFonts w:hint="eastAsia" w:ascii="宋体" w:eastAsia="宋体"/>
          <w:color w:val="auto"/>
          <w:sz w:val="24"/>
          <w:highlight w:val="none"/>
        </w:rPr>
      </w:pPr>
      <w:r>
        <w:rPr>
          <w:rFonts w:hint="eastAsia" w:ascii="宋体"/>
          <w:color w:val="auto"/>
          <w:sz w:val="24"/>
          <w:highlight w:val="none"/>
        </w:rPr>
        <w:t>法定代表人：</w:t>
      </w:r>
      <w:r>
        <w:rPr>
          <w:rFonts w:hint="eastAsia" w:ascii="宋体"/>
          <w:color w:val="auto"/>
          <w:sz w:val="24"/>
          <w:highlight w:val="none"/>
          <w:u w:val="single"/>
        </w:rPr>
        <w:t xml:space="preserve">                         </w:t>
      </w:r>
      <w:r>
        <w:rPr>
          <w:rFonts w:hint="eastAsia" w:ascii="宋体"/>
          <w:color w:val="auto"/>
          <w:sz w:val="24"/>
          <w:highlight w:val="none"/>
        </w:rPr>
        <w:t>（签字或盖章）</w:t>
      </w:r>
    </w:p>
    <w:p w14:paraId="59C2A8CB">
      <w:pPr>
        <w:pageBreakBefore w:val="0"/>
        <w:kinsoku/>
        <w:wordWrap/>
        <w:overflowPunct/>
        <w:bidi w:val="0"/>
        <w:spacing w:line="360" w:lineRule="auto"/>
        <w:ind w:right="480" w:firstLine="4680" w:firstLineChars="1950"/>
        <w:textAlignment w:val="auto"/>
        <w:outlineLvl w:val="9"/>
        <w:rPr>
          <w:rFonts w:hint="eastAsia" w:ascii="宋体"/>
          <w:color w:val="auto"/>
          <w:sz w:val="24"/>
          <w:highlight w:val="none"/>
        </w:rPr>
      </w:pPr>
    </w:p>
    <w:p w14:paraId="2DA65171">
      <w:pPr>
        <w:pageBreakBefore w:val="0"/>
        <w:kinsoku/>
        <w:wordWrap/>
        <w:overflowPunct/>
        <w:bidi w:val="0"/>
        <w:spacing w:line="360" w:lineRule="auto"/>
        <w:ind w:right="480" w:firstLine="4680" w:firstLineChars="1950"/>
        <w:textAlignment w:val="auto"/>
        <w:outlineLvl w:val="9"/>
        <w:rPr>
          <w:rFonts w:hint="eastAsia" w:ascii="宋体"/>
          <w:color w:val="auto"/>
          <w:sz w:val="24"/>
          <w:highlight w:val="none"/>
        </w:rPr>
      </w:pPr>
      <w:r>
        <w:rPr>
          <w:rFonts w:hint="eastAsia" w:ascii="宋体"/>
          <w:color w:val="auto"/>
          <w:sz w:val="24"/>
          <w:highlight w:val="none"/>
        </w:rPr>
        <w:t>签订日期: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0ADDADD">
      <w:pPr>
        <w:pageBreakBefore w:val="0"/>
        <w:kinsoku/>
        <w:wordWrap/>
        <w:overflowPunct/>
        <w:bidi w:val="0"/>
        <w:spacing w:line="360" w:lineRule="auto"/>
        <w:ind w:firstLine="482" w:firstLineChars="200"/>
        <w:jc w:val="center"/>
        <w:textAlignment w:val="auto"/>
        <w:outlineLvl w:val="9"/>
        <w:rPr>
          <w:rFonts w:hint="eastAsia" w:ascii="宋体" w:cs="@仿宋_GB2312"/>
          <w:b/>
          <w:bCs/>
          <w:color w:val="auto"/>
          <w:sz w:val="24"/>
          <w:szCs w:val="24"/>
          <w:highlight w:val="none"/>
        </w:rPr>
      </w:pPr>
      <w:r>
        <w:rPr>
          <w:rFonts w:hint="eastAsia" w:ascii="宋体"/>
          <w:b/>
          <w:color w:val="auto"/>
          <w:sz w:val="24"/>
          <w:highlight w:val="none"/>
        </w:rPr>
        <w:br w:type="page"/>
      </w:r>
      <w:r>
        <w:rPr>
          <w:rFonts w:hint="eastAsia" w:ascii="宋体" w:cs="@仿宋_GB2312"/>
          <w:b/>
          <w:bCs/>
          <w:color w:val="auto"/>
          <w:sz w:val="24"/>
          <w:szCs w:val="24"/>
          <w:highlight w:val="none"/>
        </w:rPr>
        <w:t>十</w:t>
      </w:r>
      <w:r>
        <w:rPr>
          <w:rFonts w:hint="eastAsia" w:ascii="宋体" w:cs="@仿宋_GB2312"/>
          <w:b/>
          <w:bCs/>
          <w:color w:val="auto"/>
          <w:sz w:val="24"/>
          <w:szCs w:val="24"/>
          <w:highlight w:val="none"/>
          <w:lang w:val="en-US" w:eastAsia="zh-CN"/>
        </w:rPr>
        <w:t>一</w:t>
      </w:r>
      <w:r>
        <w:rPr>
          <w:rFonts w:hint="eastAsia" w:ascii="宋体" w:cs="@仿宋_GB2312"/>
          <w:b/>
          <w:bCs/>
          <w:color w:val="auto"/>
          <w:sz w:val="24"/>
          <w:szCs w:val="24"/>
          <w:highlight w:val="none"/>
        </w:rPr>
        <w:t>、</w:t>
      </w:r>
      <w:r>
        <w:rPr>
          <w:rFonts w:hint="eastAsia" w:ascii="宋体"/>
          <w:b/>
          <w:color w:val="auto"/>
          <w:sz w:val="24"/>
          <w:highlight w:val="none"/>
        </w:rPr>
        <w:t>其他相关证明材料</w:t>
      </w:r>
    </w:p>
    <w:p w14:paraId="1AEE3CDB">
      <w:pPr>
        <w:pageBreakBefore w:val="0"/>
        <w:kinsoku/>
        <w:wordWrap/>
        <w:overflowPunct/>
        <w:bidi w:val="0"/>
        <w:spacing w:line="360" w:lineRule="auto"/>
        <w:ind w:firstLine="435"/>
        <w:textAlignment w:val="auto"/>
        <w:outlineLvl w:val="9"/>
        <w:rPr>
          <w:rFonts w:hint="eastAsia" w:ascii="宋体" w:hAnsi="宋体" w:eastAsia="宋体" w:cs="宋体"/>
          <w:b/>
          <w:bCs/>
          <w:color w:val="auto"/>
          <w:kern w:val="0"/>
          <w:sz w:val="18"/>
          <w:szCs w:val="18"/>
          <w:highlight w:val="none"/>
          <w:lang w:eastAsia="zh-CN"/>
        </w:rPr>
      </w:pPr>
      <w:r>
        <w:rPr>
          <w:rFonts w:hint="eastAsia"/>
          <w:i/>
          <w:iCs/>
          <w:color w:val="auto"/>
          <w:sz w:val="24"/>
          <w:highlight w:val="none"/>
        </w:rPr>
        <w:t>提供符合询比邀请（询比公告）、采购需求及评审方法和标准规定的相关证明文件。</w:t>
      </w:r>
      <w:r>
        <w:rPr>
          <w:rFonts w:hint="eastAsia"/>
          <w:i/>
          <w:iCs/>
          <w:color w:val="auto"/>
          <w:sz w:val="24"/>
          <w:highlight w:val="none"/>
          <w:lang w:eastAsia="zh-CN"/>
        </w:rPr>
        <w:t>如：类似业绩、履约反馈、拟委任人员资格、服务流程与质量控制方案、人员配置方案、应急处理方案、制度管理、服务承诺</w:t>
      </w:r>
    </w:p>
    <w:p w14:paraId="1DD17EB0">
      <w:pPr>
        <w:spacing w:line="360" w:lineRule="auto"/>
        <w:jc w:val="center"/>
        <w:outlineLvl w:val="0"/>
        <w:rPr>
          <w:rFonts w:hint="eastAsia" w:ascii="宋体"/>
          <w:b/>
          <w:color w:val="auto"/>
          <w:sz w:val="52"/>
          <w:highlight w:val="none"/>
        </w:rPr>
      </w:pPr>
      <w:r>
        <w:rPr>
          <w:rFonts w:hint="eastAsia"/>
          <w:b/>
          <w:bCs/>
          <w:color w:val="auto"/>
          <w:sz w:val="28"/>
          <w:highlight w:val="none"/>
        </w:rPr>
        <w:br w:type="page"/>
      </w:r>
      <w:bookmarkStart w:id="56" w:name="_Toc20434"/>
      <w:r>
        <w:rPr>
          <w:rFonts w:hint="eastAsia"/>
          <w:b/>
          <w:bCs/>
          <w:color w:val="auto"/>
          <w:sz w:val="28"/>
          <w:highlight w:val="none"/>
        </w:rPr>
        <w:t xml:space="preserve">第七章  </w:t>
      </w:r>
      <w:r>
        <w:rPr>
          <w:rFonts w:hint="eastAsia" w:ascii="宋体"/>
          <w:b/>
          <w:color w:val="auto"/>
          <w:sz w:val="28"/>
          <w:highlight w:val="none"/>
        </w:rPr>
        <w:t>供应</w:t>
      </w:r>
      <w:r>
        <w:rPr>
          <w:rFonts w:hint="eastAsia"/>
          <w:b/>
          <w:bCs/>
          <w:color w:val="auto"/>
          <w:sz w:val="28"/>
          <w:highlight w:val="none"/>
        </w:rPr>
        <w:t>商质疑函范本</w:t>
      </w:r>
      <w:bookmarkEnd w:id="56"/>
    </w:p>
    <w:p w14:paraId="4959AD46">
      <w:pPr>
        <w:jc w:val="center"/>
        <w:rPr>
          <w:rFonts w:hint="eastAsia" w:ascii="仿宋" w:eastAsia="仿宋" w:cs="仿宋"/>
          <w:b/>
          <w:bCs/>
          <w:color w:val="auto"/>
          <w:sz w:val="32"/>
          <w:szCs w:val="32"/>
          <w:highlight w:val="none"/>
        </w:rPr>
      </w:pPr>
      <w:r>
        <w:rPr>
          <w:rFonts w:hint="eastAsia" w:ascii="仿宋" w:eastAsia="仿宋" w:cs="仿宋"/>
          <w:b/>
          <w:bCs/>
          <w:color w:val="auto"/>
          <w:sz w:val="32"/>
          <w:szCs w:val="32"/>
          <w:highlight w:val="none"/>
        </w:rPr>
        <w:t>质疑函范本</w:t>
      </w:r>
    </w:p>
    <w:p w14:paraId="617B17C5">
      <w:pPr>
        <w:adjustRightInd w:val="0"/>
        <w:snapToGrid w:val="0"/>
        <w:spacing w:line="360" w:lineRule="auto"/>
        <w:rPr>
          <w:rFonts w:hint="eastAsia" w:ascii="宋体" w:cs="仿宋"/>
          <w:b/>
          <w:bCs/>
          <w:color w:val="auto"/>
          <w:sz w:val="24"/>
          <w:szCs w:val="24"/>
          <w:highlight w:val="none"/>
        </w:rPr>
      </w:pPr>
      <w:r>
        <w:rPr>
          <w:rFonts w:hint="eastAsia" w:ascii="宋体" w:cs="仿宋"/>
          <w:b/>
          <w:bCs/>
          <w:color w:val="auto"/>
          <w:sz w:val="24"/>
          <w:szCs w:val="24"/>
          <w:highlight w:val="none"/>
        </w:rPr>
        <w:t>一、质疑供应商基本信息</w:t>
      </w:r>
    </w:p>
    <w:p w14:paraId="159CD4D9">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质疑供应商：</w:t>
      </w:r>
      <w:r>
        <w:rPr>
          <w:rFonts w:hint="eastAsia" w:ascii="宋体" w:cs="仿宋"/>
          <w:color w:val="auto"/>
          <w:sz w:val="24"/>
          <w:szCs w:val="24"/>
          <w:highlight w:val="none"/>
          <w:u w:val="dotted"/>
        </w:rPr>
        <w:t xml:space="preserve">                                        </w:t>
      </w:r>
    </w:p>
    <w:p w14:paraId="5ABF66DC">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地址：</w:t>
      </w:r>
      <w:r>
        <w:rPr>
          <w:rFonts w:hint="eastAsia" w:ascii="宋体" w:cs="仿宋"/>
          <w:color w:val="auto"/>
          <w:sz w:val="24"/>
          <w:szCs w:val="24"/>
          <w:highlight w:val="none"/>
          <w:u w:val="dotted"/>
        </w:rPr>
        <w:t xml:space="preserve">                          </w:t>
      </w:r>
      <w:r>
        <w:rPr>
          <w:rFonts w:hint="eastAsia" w:ascii="宋体" w:cs="仿宋"/>
          <w:color w:val="auto"/>
          <w:sz w:val="24"/>
          <w:szCs w:val="24"/>
          <w:highlight w:val="none"/>
        </w:rPr>
        <w:t>邮编：</w:t>
      </w:r>
      <w:r>
        <w:rPr>
          <w:rFonts w:hint="eastAsia" w:ascii="宋体" w:cs="仿宋"/>
          <w:color w:val="auto"/>
          <w:sz w:val="24"/>
          <w:szCs w:val="24"/>
          <w:highlight w:val="none"/>
          <w:u w:val="dotted"/>
        </w:rPr>
        <w:t xml:space="preserve">              </w:t>
      </w:r>
    </w:p>
    <w:p w14:paraId="20CDCDE4">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联系人：</w:t>
      </w:r>
      <w:r>
        <w:rPr>
          <w:rFonts w:hint="eastAsia" w:ascii="宋体" w:cs="仿宋"/>
          <w:color w:val="auto"/>
          <w:sz w:val="24"/>
          <w:szCs w:val="24"/>
          <w:highlight w:val="none"/>
          <w:u w:val="dotted"/>
        </w:rPr>
        <w:t xml:space="preserve">                      </w:t>
      </w:r>
      <w:r>
        <w:rPr>
          <w:rFonts w:hint="eastAsia" w:ascii="宋体" w:cs="仿宋"/>
          <w:color w:val="auto"/>
          <w:sz w:val="24"/>
          <w:szCs w:val="24"/>
          <w:highlight w:val="none"/>
        </w:rPr>
        <w:t>联系电话：</w:t>
      </w:r>
      <w:r>
        <w:rPr>
          <w:rFonts w:hint="eastAsia" w:ascii="宋体" w:cs="仿宋"/>
          <w:color w:val="auto"/>
          <w:sz w:val="24"/>
          <w:szCs w:val="24"/>
          <w:highlight w:val="none"/>
          <w:u w:val="dotted"/>
        </w:rPr>
        <w:t xml:space="preserve">            </w:t>
      </w:r>
    </w:p>
    <w:p w14:paraId="64D1046F">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授权代表：</w:t>
      </w:r>
      <w:r>
        <w:rPr>
          <w:rFonts w:hint="eastAsia" w:ascii="宋体" w:cs="仿宋"/>
          <w:color w:val="auto"/>
          <w:sz w:val="24"/>
          <w:szCs w:val="24"/>
          <w:highlight w:val="none"/>
          <w:u w:val="dotted"/>
        </w:rPr>
        <w:t xml:space="preserve">                                          </w:t>
      </w:r>
    </w:p>
    <w:p w14:paraId="50DBFAC2">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联系电话：</w:t>
      </w:r>
      <w:r>
        <w:rPr>
          <w:rFonts w:hint="eastAsia" w:ascii="宋体" w:cs="仿宋"/>
          <w:color w:val="auto"/>
          <w:sz w:val="24"/>
          <w:szCs w:val="24"/>
          <w:highlight w:val="none"/>
          <w:u w:val="dotted"/>
        </w:rPr>
        <w:t xml:space="preserve">                                          </w:t>
      </w:r>
    </w:p>
    <w:p w14:paraId="31639B9B">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地址：                         邮编：</w:t>
      </w:r>
      <w:r>
        <w:rPr>
          <w:rFonts w:hint="eastAsia" w:ascii="宋体" w:cs="仿宋"/>
          <w:color w:val="auto"/>
          <w:sz w:val="24"/>
          <w:szCs w:val="24"/>
          <w:highlight w:val="none"/>
          <w:u w:val="dotted"/>
        </w:rPr>
        <w:t xml:space="preserve">               </w:t>
      </w:r>
    </w:p>
    <w:p w14:paraId="70BB2B69">
      <w:pPr>
        <w:adjustRightInd w:val="0"/>
        <w:snapToGrid w:val="0"/>
        <w:spacing w:line="360" w:lineRule="auto"/>
        <w:rPr>
          <w:rFonts w:hint="eastAsia" w:ascii="宋体" w:cs="仿宋"/>
          <w:b/>
          <w:bCs/>
          <w:color w:val="auto"/>
          <w:sz w:val="24"/>
          <w:szCs w:val="24"/>
          <w:highlight w:val="none"/>
        </w:rPr>
      </w:pPr>
      <w:r>
        <w:rPr>
          <w:rFonts w:hint="eastAsia" w:ascii="宋体" w:cs="仿宋"/>
          <w:b/>
          <w:bCs/>
          <w:color w:val="auto"/>
          <w:sz w:val="24"/>
          <w:szCs w:val="24"/>
          <w:highlight w:val="none"/>
        </w:rPr>
        <w:t>二、质疑项目基本情况</w:t>
      </w:r>
    </w:p>
    <w:p w14:paraId="70AE81D8">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质疑项目的名称：</w:t>
      </w:r>
      <w:r>
        <w:rPr>
          <w:rFonts w:hint="eastAsia" w:ascii="宋体" w:cs="仿宋"/>
          <w:color w:val="auto"/>
          <w:sz w:val="24"/>
          <w:szCs w:val="24"/>
          <w:highlight w:val="none"/>
          <w:u w:val="dotted"/>
        </w:rPr>
        <w:t xml:space="preserve">                                    </w:t>
      </w:r>
    </w:p>
    <w:p w14:paraId="43CFE1A7">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质疑项目的编号：</w:t>
      </w:r>
      <w:r>
        <w:rPr>
          <w:rFonts w:hint="eastAsia" w:ascii="宋体" w:cs="仿宋"/>
          <w:color w:val="auto"/>
          <w:sz w:val="24"/>
          <w:szCs w:val="24"/>
          <w:highlight w:val="none"/>
          <w:u w:val="dotted"/>
        </w:rPr>
        <w:t xml:space="preserve">               </w:t>
      </w:r>
      <w:r>
        <w:rPr>
          <w:rFonts w:hint="eastAsia" w:ascii="宋体" w:cs="仿宋"/>
          <w:color w:val="auto"/>
          <w:sz w:val="24"/>
          <w:szCs w:val="24"/>
          <w:highlight w:val="none"/>
        </w:rPr>
        <w:t>包号：</w:t>
      </w:r>
      <w:r>
        <w:rPr>
          <w:rFonts w:hint="eastAsia" w:ascii="宋体" w:cs="仿宋"/>
          <w:color w:val="auto"/>
          <w:sz w:val="24"/>
          <w:szCs w:val="24"/>
          <w:highlight w:val="none"/>
          <w:u w:val="dotted"/>
        </w:rPr>
        <w:t xml:space="preserve">               </w:t>
      </w:r>
    </w:p>
    <w:p w14:paraId="2622CAE9">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采购人名称：</w:t>
      </w:r>
      <w:r>
        <w:rPr>
          <w:rFonts w:hint="eastAsia" w:ascii="宋体" w:cs="仿宋"/>
          <w:color w:val="auto"/>
          <w:sz w:val="24"/>
          <w:szCs w:val="24"/>
          <w:highlight w:val="none"/>
          <w:u w:val="dotted"/>
        </w:rPr>
        <w:t xml:space="preserve">                                        </w:t>
      </w:r>
    </w:p>
    <w:p w14:paraId="4E0D17E1">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lang w:eastAsia="zh-CN"/>
        </w:rPr>
        <w:t>询比文件</w:t>
      </w:r>
      <w:r>
        <w:rPr>
          <w:rFonts w:hint="eastAsia" w:ascii="宋体" w:cs="仿宋"/>
          <w:color w:val="auto"/>
          <w:sz w:val="24"/>
          <w:szCs w:val="24"/>
          <w:highlight w:val="none"/>
        </w:rPr>
        <w:t>获取日期：</w:t>
      </w:r>
      <w:r>
        <w:rPr>
          <w:rFonts w:hint="eastAsia" w:ascii="宋体" w:cs="仿宋"/>
          <w:color w:val="auto"/>
          <w:sz w:val="24"/>
          <w:szCs w:val="24"/>
          <w:highlight w:val="none"/>
          <w:u w:val="dotted"/>
        </w:rPr>
        <w:t xml:space="preserve">                                  </w:t>
      </w:r>
    </w:p>
    <w:p w14:paraId="5B58E997">
      <w:pPr>
        <w:adjustRightInd w:val="0"/>
        <w:snapToGrid w:val="0"/>
        <w:spacing w:line="360" w:lineRule="auto"/>
        <w:rPr>
          <w:rFonts w:hint="eastAsia" w:ascii="宋体" w:cs="仿宋"/>
          <w:b/>
          <w:bCs/>
          <w:color w:val="auto"/>
          <w:sz w:val="24"/>
          <w:szCs w:val="24"/>
          <w:highlight w:val="none"/>
        </w:rPr>
      </w:pPr>
      <w:r>
        <w:rPr>
          <w:rFonts w:hint="eastAsia" w:ascii="宋体" w:cs="仿宋"/>
          <w:b/>
          <w:bCs/>
          <w:color w:val="auto"/>
          <w:sz w:val="24"/>
          <w:szCs w:val="24"/>
          <w:highlight w:val="none"/>
        </w:rPr>
        <w:t>三、质疑事项具体内容</w:t>
      </w:r>
    </w:p>
    <w:p w14:paraId="00A3C8EF">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质疑事项1：</w:t>
      </w:r>
      <w:r>
        <w:rPr>
          <w:rFonts w:hint="eastAsia" w:ascii="宋体" w:cs="仿宋"/>
          <w:color w:val="auto"/>
          <w:sz w:val="24"/>
          <w:szCs w:val="24"/>
          <w:highlight w:val="none"/>
          <w:u w:val="dotted"/>
        </w:rPr>
        <w:t xml:space="preserve">                                         </w:t>
      </w:r>
    </w:p>
    <w:p w14:paraId="5B00F808">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事实依据：</w:t>
      </w:r>
      <w:r>
        <w:rPr>
          <w:rFonts w:hint="eastAsia" w:ascii="宋体" w:cs="仿宋"/>
          <w:color w:val="auto"/>
          <w:sz w:val="24"/>
          <w:szCs w:val="24"/>
          <w:highlight w:val="none"/>
          <w:u w:val="dotted"/>
        </w:rPr>
        <w:t xml:space="preserve">                                          </w:t>
      </w:r>
    </w:p>
    <w:p w14:paraId="3526BBA3">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u w:val="dotted"/>
        </w:rPr>
        <w:t xml:space="preserve">                                                    </w:t>
      </w:r>
    </w:p>
    <w:p w14:paraId="50CE5A5D">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法律依据：</w:t>
      </w:r>
      <w:r>
        <w:rPr>
          <w:rFonts w:hint="eastAsia" w:ascii="宋体" w:cs="仿宋"/>
          <w:color w:val="auto"/>
          <w:sz w:val="24"/>
          <w:szCs w:val="24"/>
          <w:highlight w:val="none"/>
          <w:u w:val="dotted"/>
        </w:rPr>
        <w:t xml:space="preserve">                                          </w:t>
      </w:r>
    </w:p>
    <w:p w14:paraId="4508E0AE">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u w:val="dotted"/>
        </w:rPr>
        <w:t xml:space="preserve">                                                    </w:t>
      </w:r>
    </w:p>
    <w:p w14:paraId="5AB140B6">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质疑事项2</w:t>
      </w:r>
    </w:p>
    <w:p w14:paraId="3FF9A792">
      <w:pPr>
        <w:adjustRightInd w:val="0"/>
        <w:snapToGrid w:val="0"/>
        <w:spacing w:line="360" w:lineRule="auto"/>
        <w:rPr>
          <w:rFonts w:hint="eastAsia" w:ascii="宋体" w:cs="仿宋"/>
          <w:color w:val="auto"/>
          <w:sz w:val="24"/>
          <w:szCs w:val="24"/>
          <w:highlight w:val="none"/>
        </w:rPr>
      </w:pPr>
      <w:r>
        <w:rPr>
          <w:rFonts w:hint="eastAsia" w:ascii="宋体" w:cs="仿宋"/>
          <w:color w:val="auto"/>
          <w:sz w:val="24"/>
          <w:szCs w:val="24"/>
          <w:highlight w:val="none"/>
        </w:rPr>
        <w:t>……</w:t>
      </w:r>
    </w:p>
    <w:p w14:paraId="402431D1">
      <w:pPr>
        <w:adjustRightInd w:val="0"/>
        <w:snapToGrid w:val="0"/>
        <w:spacing w:line="360" w:lineRule="auto"/>
        <w:rPr>
          <w:rFonts w:hint="eastAsia" w:ascii="宋体" w:cs="仿宋"/>
          <w:b/>
          <w:bCs/>
          <w:color w:val="auto"/>
          <w:sz w:val="24"/>
          <w:szCs w:val="24"/>
          <w:highlight w:val="none"/>
        </w:rPr>
      </w:pPr>
      <w:r>
        <w:rPr>
          <w:rFonts w:hint="eastAsia" w:ascii="宋体" w:cs="仿宋"/>
          <w:b/>
          <w:bCs/>
          <w:color w:val="auto"/>
          <w:sz w:val="24"/>
          <w:szCs w:val="24"/>
          <w:highlight w:val="none"/>
        </w:rPr>
        <w:t>四、与质疑事项相关的质疑请求</w:t>
      </w:r>
    </w:p>
    <w:p w14:paraId="31876DB5">
      <w:pPr>
        <w:adjustRightInd w:val="0"/>
        <w:snapToGrid w:val="0"/>
        <w:spacing w:line="360" w:lineRule="auto"/>
        <w:rPr>
          <w:rFonts w:hint="eastAsia" w:ascii="宋体" w:cs="仿宋"/>
          <w:color w:val="auto"/>
          <w:sz w:val="24"/>
          <w:szCs w:val="24"/>
          <w:highlight w:val="none"/>
          <w:u w:val="dotted"/>
        </w:rPr>
      </w:pPr>
      <w:r>
        <w:rPr>
          <w:rFonts w:hint="eastAsia" w:ascii="宋体" w:cs="仿宋"/>
          <w:color w:val="auto"/>
          <w:sz w:val="24"/>
          <w:szCs w:val="24"/>
          <w:highlight w:val="none"/>
        </w:rPr>
        <w:t>请求：</w:t>
      </w:r>
      <w:r>
        <w:rPr>
          <w:rFonts w:hint="eastAsia" w:ascii="宋体" w:cs="仿宋"/>
          <w:color w:val="auto"/>
          <w:sz w:val="24"/>
          <w:szCs w:val="24"/>
          <w:highlight w:val="none"/>
          <w:u w:val="dotted"/>
        </w:rPr>
        <w:t xml:space="preserve">                                              </w:t>
      </w:r>
    </w:p>
    <w:p w14:paraId="059FF57B">
      <w:pPr>
        <w:spacing w:line="360" w:lineRule="auto"/>
        <w:rPr>
          <w:rFonts w:hint="eastAsia" w:ascii="宋体"/>
          <w:color w:val="auto"/>
          <w:sz w:val="24"/>
          <w:szCs w:val="24"/>
          <w:highlight w:val="none"/>
        </w:rPr>
      </w:pPr>
      <w:r>
        <w:rPr>
          <w:rFonts w:hint="eastAsia" w:ascii="宋体"/>
          <w:color w:val="auto"/>
          <w:sz w:val="24"/>
          <w:szCs w:val="24"/>
          <w:highlight w:val="none"/>
        </w:rPr>
        <w:t xml:space="preserve">签字(签章)：                   公章：                      </w:t>
      </w:r>
    </w:p>
    <w:p w14:paraId="01B85B85">
      <w:pPr>
        <w:spacing w:line="360" w:lineRule="auto"/>
        <w:rPr>
          <w:rFonts w:hint="eastAsia" w:ascii="宋体"/>
          <w:color w:val="auto"/>
          <w:sz w:val="24"/>
          <w:szCs w:val="24"/>
          <w:highlight w:val="none"/>
        </w:rPr>
      </w:pPr>
      <w:r>
        <w:rPr>
          <w:rFonts w:hint="eastAsia" w:ascii="宋体"/>
          <w:color w:val="auto"/>
          <w:sz w:val="24"/>
          <w:szCs w:val="24"/>
          <w:highlight w:val="none"/>
        </w:rPr>
        <w:t xml:space="preserve">日期：    </w:t>
      </w:r>
    </w:p>
    <w:p w14:paraId="5630F30B">
      <w:pPr>
        <w:spacing w:line="360" w:lineRule="auto"/>
        <w:rPr>
          <w:rFonts w:hint="eastAsia" w:ascii="宋体"/>
          <w:color w:val="auto"/>
          <w:sz w:val="24"/>
          <w:szCs w:val="24"/>
          <w:highlight w:val="none"/>
        </w:rPr>
      </w:pPr>
    </w:p>
    <w:p w14:paraId="2BDBBF1C">
      <w:pPr>
        <w:widowControl/>
        <w:jc w:val="left"/>
        <w:rPr>
          <w:rFonts w:hint="eastAsia" w:ascii="宋体"/>
          <w:b/>
          <w:color w:val="auto"/>
          <w:sz w:val="28"/>
          <w:szCs w:val="32"/>
          <w:highlight w:val="none"/>
        </w:rPr>
      </w:pPr>
      <w:r>
        <w:rPr>
          <w:rFonts w:hint="eastAsia" w:ascii="宋体"/>
          <w:b/>
          <w:color w:val="auto"/>
          <w:sz w:val="28"/>
          <w:szCs w:val="32"/>
          <w:highlight w:val="none"/>
        </w:rPr>
        <w:br w:type="page"/>
      </w:r>
      <w:r>
        <w:rPr>
          <w:rFonts w:hint="eastAsia" w:ascii="宋体"/>
          <w:b/>
          <w:color w:val="auto"/>
          <w:sz w:val="28"/>
          <w:szCs w:val="32"/>
          <w:highlight w:val="none"/>
        </w:rPr>
        <w:t>质疑函制作说明：</w:t>
      </w:r>
    </w:p>
    <w:p w14:paraId="2143CA57">
      <w:pPr>
        <w:spacing w:line="360" w:lineRule="auto"/>
        <w:rPr>
          <w:rFonts w:hint="eastAsia" w:ascii="宋体"/>
          <w:color w:val="auto"/>
          <w:sz w:val="24"/>
          <w:highlight w:val="none"/>
        </w:rPr>
      </w:pPr>
      <w:r>
        <w:rPr>
          <w:rFonts w:hint="eastAsia" w:ascii="宋体"/>
          <w:color w:val="auto"/>
          <w:sz w:val="24"/>
          <w:highlight w:val="none"/>
        </w:rPr>
        <w:t>1.供应商提出质疑时，应提交质疑函和必要的证明材料。</w:t>
      </w:r>
    </w:p>
    <w:p w14:paraId="5196954A">
      <w:pPr>
        <w:spacing w:line="360" w:lineRule="auto"/>
        <w:rPr>
          <w:rFonts w:hint="eastAsia" w:ascii="宋体"/>
          <w:color w:val="auto"/>
          <w:sz w:val="24"/>
          <w:highlight w:val="none"/>
        </w:rPr>
      </w:pPr>
      <w:r>
        <w:rPr>
          <w:rFonts w:hint="eastAsia" w:ascii="宋体"/>
          <w:color w:val="auto"/>
          <w:sz w:val="24"/>
          <w:highlight w:val="none"/>
        </w:rPr>
        <w:t>2.质疑供应商若委托代理人进行质疑的，质疑函应按要求列明“授权代表”的有关内容，</w:t>
      </w:r>
      <w:r>
        <w:rPr>
          <w:rFonts w:hint="eastAsia" w:ascii="宋体"/>
          <w:b/>
          <w:bCs/>
          <w:color w:val="auto"/>
          <w:sz w:val="24"/>
          <w:highlight w:val="none"/>
        </w:rPr>
        <w:t>并在附件中提交由质疑供应商签署的授权委托书。</w:t>
      </w:r>
      <w:r>
        <w:rPr>
          <w:rFonts w:hint="eastAsia" w:ascii="宋体"/>
          <w:color w:val="auto"/>
          <w:sz w:val="24"/>
          <w:highlight w:val="none"/>
        </w:rPr>
        <w:t>授权委托书应载明代理人的姓名或者名称、代理事项、具体权限、期限和相关事项。</w:t>
      </w:r>
    </w:p>
    <w:p w14:paraId="17F3A05D">
      <w:pPr>
        <w:spacing w:line="360" w:lineRule="auto"/>
        <w:rPr>
          <w:rFonts w:hint="eastAsia" w:ascii="宋体"/>
          <w:color w:val="auto"/>
          <w:sz w:val="24"/>
          <w:highlight w:val="none"/>
        </w:rPr>
      </w:pPr>
      <w:r>
        <w:rPr>
          <w:rFonts w:hint="eastAsia" w:ascii="宋体"/>
          <w:color w:val="auto"/>
          <w:sz w:val="24"/>
          <w:highlight w:val="none"/>
        </w:rPr>
        <w:t>3.质疑供应商若对项目的某一分包进行质疑，质疑函中应列明具体分包号。</w:t>
      </w:r>
    </w:p>
    <w:p w14:paraId="078179B2">
      <w:pPr>
        <w:spacing w:line="360" w:lineRule="auto"/>
        <w:rPr>
          <w:rFonts w:hint="eastAsia" w:ascii="宋体"/>
          <w:color w:val="auto"/>
          <w:sz w:val="24"/>
          <w:highlight w:val="none"/>
        </w:rPr>
      </w:pPr>
      <w:r>
        <w:rPr>
          <w:rFonts w:hint="eastAsia" w:ascii="宋体"/>
          <w:color w:val="auto"/>
          <w:sz w:val="24"/>
          <w:highlight w:val="none"/>
        </w:rPr>
        <w:t>4.质疑函的质疑事项应具体、明确，并有必要的事实依据和法律依据。</w:t>
      </w:r>
    </w:p>
    <w:p w14:paraId="62B701F2">
      <w:pPr>
        <w:spacing w:line="360" w:lineRule="auto"/>
        <w:rPr>
          <w:rFonts w:hint="eastAsia" w:ascii="宋体"/>
          <w:color w:val="auto"/>
          <w:sz w:val="24"/>
          <w:highlight w:val="none"/>
        </w:rPr>
      </w:pPr>
      <w:r>
        <w:rPr>
          <w:rFonts w:hint="eastAsia" w:ascii="宋体"/>
          <w:color w:val="auto"/>
          <w:sz w:val="24"/>
          <w:highlight w:val="none"/>
        </w:rPr>
        <w:t>5.质疑函的质疑请求应与质疑事项相关。</w:t>
      </w:r>
    </w:p>
    <w:p w14:paraId="5723B74D">
      <w:pPr>
        <w:spacing w:line="360" w:lineRule="auto"/>
        <w:rPr>
          <w:rFonts w:hint="eastAsia" w:ascii="宋体"/>
          <w:color w:val="auto"/>
          <w:sz w:val="24"/>
          <w:highlight w:val="none"/>
        </w:rPr>
      </w:pPr>
      <w:r>
        <w:rPr>
          <w:rFonts w:hint="eastAsia" w:ascii="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68DCC91B">
      <w:pPr>
        <w:pStyle w:val="25"/>
        <w:spacing w:line="360" w:lineRule="auto"/>
        <w:ind w:firstLine="0" w:firstLineChars="0"/>
        <w:rPr>
          <w:rFonts w:hint="eastAsia" w:ascii="宋体" w:hAnsi="宋体" w:cs="宋体"/>
          <w:color w:val="auto"/>
          <w:sz w:val="22"/>
          <w:szCs w:val="22"/>
          <w:highlight w:val="none"/>
        </w:rPr>
      </w:pPr>
    </w:p>
    <w:sectPr>
      <w:footerReference r:id="rId7"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S Mincho">
    <w:altName w:val="MS UI Gothic"/>
    <w:panose1 w:val="02020609040205080304"/>
    <w:charset w:val="80"/>
    <w:family w:val="modern"/>
    <w:pitch w:val="default"/>
    <w:sig w:usb0="00000000" w:usb1="00000000" w:usb2="00000012" w:usb3="00000000" w:csb0="4002009F" w:csb1="DFD70000"/>
  </w:font>
  <w:font w:name="MS UI Gothic">
    <w:panose1 w:val="020B0600070205080204"/>
    <w:charset w:val="80"/>
    <w:family w:val="auto"/>
    <w:pitch w:val="default"/>
    <w:sig w:usb0="E00002FF" w:usb1="6AC7FDFB" w:usb2="08000012" w:usb3="00000000" w:csb0="4002009F" w:csb1="DFD7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6FF34">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9CE8E">
    <w:pPr>
      <w:pStyle w:val="12"/>
      <w:rPr>
        <w:rFonts w:hint="eastAsia" w:ascii="宋体"/>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26ACA">
    <w:pPr>
      <w:pStyle w:val="12"/>
      <w:rPr>
        <w:rFonts w:hint="eastAsia"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5D3ED7B">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YAKZW5gEA&#10;AMgDAAAOAAAAAAAAAAEAIAAAACIBAABkcnMvZTJvRG9jLnhtbFBLBQYAAAAABgAGAFkBAAB6BQAA&#10;AAA=&#10;">
              <v:fill on="f" focussize="0,0"/>
              <v:stroke on="f" weight="1.25pt"/>
              <v:imagedata o:title=""/>
              <o:lock v:ext="edit" aspectratio="f"/>
              <v:textbox inset="0mm,0mm,0mm,0mm" style="mso-fit-shape-to-text:t;">
                <w:txbxContent>
                  <w:p w14:paraId="65D3ED7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6A6F3">
    <w:pPr>
      <w:pStyle w:val="14"/>
      <w:jc w:val="right"/>
      <w:rPr>
        <w:rFonts w:hint="eastAsia" w:ascii="宋体" w:eastAsia="宋体"/>
        <w:lang w:eastAsia="zh-CN"/>
      </w:rPr>
    </w:pPr>
    <w:r>
      <w:rPr>
        <w:rFonts w:hint="eastAsia" w:ascii="宋体"/>
      </w:rPr>
      <w:t xml:space="preserve">   </w:t>
    </w:r>
    <w:r>
      <w:rPr>
        <w:rFonts w:hint="eastAsia" w:ascii="宋体"/>
        <w:lang w:eastAsia="zh-CN"/>
      </w:rPr>
      <w:t>安徽环境新安江生态科技有限公司劳务外包服务项目（二次）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29871">
    <w:pPr>
      <w:pStyle w:val="14"/>
      <w:jc w:val="right"/>
      <w:rPr>
        <w:rFonts w:hint="eastAsia" w:ascii="宋体" w:eastAsia="宋体"/>
        <w:lang w:eastAsia="zh-CN"/>
      </w:rPr>
    </w:pPr>
    <w:r>
      <w:rPr>
        <w:rFonts w:hint="eastAsia" w:ascii="宋体"/>
        <w:lang w:eastAsia="zh-CN"/>
      </w:rPr>
      <w:t>安徽环境新安江生态科技有限公司劳务外包服务项目（二次）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31EA0C"/>
    <w:multiLevelType w:val="singleLevel"/>
    <w:tmpl w:val="C631EA0C"/>
    <w:lvl w:ilvl="0" w:tentative="0">
      <w:start w:val="1"/>
      <w:numFmt w:val="decimal"/>
      <w:suff w:val="nothing"/>
      <w:lvlText w:val="%1、"/>
      <w:lvlJc w:val="left"/>
    </w:lvl>
  </w:abstractNum>
  <w:abstractNum w:abstractNumId="1">
    <w:nsid w:val="C94B8170"/>
    <w:multiLevelType w:val="singleLevel"/>
    <w:tmpl w:val="C94B8170"/>
    <w:lvl w:ilvl="0" w:tentative="0">
      <w:start w:val="2"/>
      <w:numFmt w:val="chineseCounting"/>
      <w:suff w:val="nothing"/>
      <w:lvlText w:val="%1、"/>
      <w:lvlJc w:val="left"/>
      <w:rPr>
        <w:rFonts w:hint="eastAsia"/>
      </w:rPr>
    </w:lvl>
  </w:abstractNum>
  <w:abstractNum w:abstractNumId="2">
    <w:nsid w:val="66F8DA0B"/>
    <w:multiLevelType w:val="singleLevel"/>
    <w:tmpl w:val="66F8DA0B"/>
    <w:lvl w:ilvl="0" w:tentative="0">
      <w:start w:val="1"/>
      <w:numFmt w:val="decimal"/>
      <w:suff w:val="nothing"/>
      <w:lvlText w:val="（%1）"/>
      <w:lvlJc w:val="left"/>
    </w:lvl>
  </w:abstractNum>
  <w:abstractNum w:abstractNumId="3">
    <w:nsid w:val="7C3616C5"/>
    <w:multiLevelType w:val="multilevel"/>
    <w:tmpl w:val="7C3616C5"/>
    <w:lvl w:ilvl="0" w:tentative="0">
      <w:start w:val="1"/>
      <w:numFmt w:val="chineseCounting"/>
      <w:pStyle w:val="2"/>
      <w:suff w:val="nothing"/>
      <w:lvlText w:val="%1、"/>
      <w:lvlJc w:val="left"/>
      <w:pPr>
        <w:tabs>
          <w:tab w:val="left" w:pos="0"/>
        </w:tabs>
        <w:ind w:left="0" w:firstLine="0"/>
      </w:pPr>
      <w:rPr>
        <w:rFonts w:hint="eastAsia"/>
      </w:rPr>
    </w:lvl>
    <w:lvl w:ilvl="1" w:tentative="0">
      <w:start w:val="1"/>
      <w:numFmt w:val="chineseCounting"/>
      <w:suff w:val="nothing"/>
      <w:lvlText w:val="（%2）"/>
      <w:lvlJc w:val="left"/>
      <w:pPr>
        <w:tabs>
          <w:tab w:val="left" w:pos="0"/>
        </w:tabs>
        <w:ind w:left="0" w:firstLine="0"/>
      </w:pPr>
      <w:rPr>
        <w:rFonts w:hint="eastAsia"/>
      </w:rPr>
    </w:lvl>
    <w:lvl w:ilvl="2" w:tentative="0">
      <w:start w:val="1"/>
      <w:numFmt w:val="decimal"/>
      <w:suff w:val="nothing"/>
      <w:lvlText w:val="%3．"/>
      <w:lvlJc w:val="left"/>
      <w:pPr>
        <w:tabs>
          <w:tab w:val="left" w:pos="0"/>
        </w:tabs>
        <w:ind w:left="0" w:firstLine="400"/>
      </w:pPr>
      <w:rPr>
        <w:rFonts w:hint="eastAsia"/>
      </w:rPr>
    </w:lvl>
    <w:lvl w:ilvl="3" w:tentative="0">
      <w:start w:val="1"/>
      <w:numFmt w:val="decimal"/>
      <w:suff w:val="nothing"/>
      <w:lvlText w:val="（%4）"/>
      <w:lvlJc w:val="left"/>
      <w:pPr>
        <w:tabs>
          <w:tab w:val="left" w:pos="0"/>
        </w:tabs>
        <w:ind w:left="0" w:firstLine="402"/>
      </w:pPr>
      <w:rPr>
        <w:rFonts w:hint="eastAsia"/>
      </w:rPr>
    </w:lvl>
    <w:lvl w:ilvl="4" w:tentative="0">
      <w:start w:val="1"/>
      <w:numFmt w:val="decimalEnclosedCircleChinese"/>
      <w:suff w:val="nothing"/>
      <w:lvlText w:val="%5"/>
      <w:lvlJc w:val="left"/>
      <w:pPr>
        <w:tabs>
          <w:tab w:val="left" w:pos="0"/>
        </w:tabs>
        <w:ind w:left="0" w:firstLine="402"/>
      </w:pPr>
      <w:rPr>
        <w:rFonts w:hint="eastAsia"/>
      </w:rPr>
    </w:lvl>
    <w:lvl w:ilvl="5" w:tentative="0">
      <w:start w:val="1"/>
      <w:numFmt w:val="decimal"/>
      <w:suff w:val="nothing"/>
      <w:lvlText w:val="%6）"/>
      <w:lvlJc w:val="left"/>
      <w:pPr>
        <w:tabs>
          <w:tab w:val="left" w:pos="0"/>
        </w:tabs>
        <w:ind w:left="0" w:firstLine="402"/>
      </w:pPr>
      <w:rPr>
        <w:rFonts w:hint="eastAsia"/>
      </w:rPr>
    </w:lvl>
    <w:lvl w:ilvl="6" w:tentative="0">
      <w:start w:val="1"/>
      <w:numFmt w:val="lowerLetter"/>
      <w:suff w:val="nothing"/>
      <w:lvlText w:val="%7．"/>
      <w:lvlJc w:val="left"/>
      <w:pPr>
        <w:tabs>
          <w:tab w:val="left" w:pos="0"/>
        </w:tabs>
        <w:ind w:left="0" w:firstLine="402"/>
      </w:pPr>
      <w:rPr>
        <w:rFonts w:hint="eastAsia"/>
      </w:rPr>
    </w:lvl>
    <w:lvl w:ilvl="7" w:tentative="0">
      <w:start w:val="1"/>
      <w:numFmt w:val="lowerLetter"/>
      <w:suff w:val="nothing"/>
      <w:lvlText w:val="%8）"/>
      <w:lvlJc w:val="left"/>
      <w:pPr>
        <w:tabs>
          <w:tab w:val="left" w:pos="0"/>
        </w:tabs>
        <w:ind w:left="0" w:firstLine="402"/>
      </w:pPr>
      <w:rPr>
        <w:rFonts w:hint="eastAsia"/>
      </w:rPr>
    </w:lvl>
    <w:lvl w:ilvl="8" w:tentative="0">
      <w:start w:val="1"/>
      <w:numFmt w:val="lowerRoman"/>
      <w:suff w:val="nothing"/>
      <w:lvlText w:val="%9 "/>
      <w:lvlJc w:val="left"/>
      <w:pPr>
        <w:tabs>
          <w:tab w:val="left" w:pos="0"/>
        </w:tabs>
        <w:ind w:left="0" w:firstLine="402"/>
      </w:pPr>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工">
    <w15:presenceInfo w15:providerId="WPS Office" w15:userId="2091789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Y2I4ZTQ1YjAxMzBjM2UzZDZjMGJkY2U3OTQ2NjAifQ=="/>
    <w:docVar w:name="KSO_WPS_MARK_KEY" w:val="26a4de28-4545-4359-9201-05b08a2c2f85"/>
  </w:docVars>
  <w:rsids>
    <w:rsidRoot w:val="00172A27"/>
    <w:rsid w:val="00001721"/>
    <w:rsid w:val="00004520"/>
    <w:rsid w:val="000279F1"/>
    <w:rsid w:val="000478C2"/>
    <w:rsid w:val="00052CB6"/>
    <w:rsid w:val="00060D38"/>
    <w:rsid w:val="00060F3A"/>
    <w:rsid w:val="00063071"/>
    <w:rsid w:val="00064351"/>
    <w:rsid w:val="000675F1"/>
    <w:rsid w:val="00072C34"/>
    <w:rsid w:val="000730D1"/>
    <w:rsid w:val="00081AAA"/>
    <w:rsid w:val="0009075B"/>
    <w:rsid w:val="00092056"/>
    <w:rsid w:val="000A7E0E"/>
    <w:rsid w:val="000C0853"/>
    <w:rsid w:val="000C2F06"/>
    <w:rsid w:val="000D2A69"/>
    <w:rsid w:val="000E706E"/>
    <w:rsid w:val="000F3FEB"/>
    <w:rsid w:val="000F5002"/>
    <w:rsid w:val="000F68E8"/>
    <w:rsid w:val="000F6EFE"/>
    <w:rsid w:val="00105245"/>
    <w:rsid w:val="001236E1"/>
    <w:rsid w:val="00132C1F"/>
    <w:rsid w:val="00147771"/>
    <w:rsid w:val="00173919"/>
    <w:rsid w:val="00196378"/>
    <w:rsid w:val="001A382C"/>
    <w:rsid w:val="001B2BA7"/>
    <w:rsid w:val="001B4031"/>
    <w:rsid w:val="001B4516"/>
    <w:rsid w:val="001D4EF6"/>
    <w:rsid w:val="001D5454"/>
    <w:rsid w:val="001E2FF5"/>
    <w:rsid w:val="001E3118"/>
    <w:rsid w:val="001F3CE9"/>
    <w:rsid w:val="00203861"/>
    <w:rsid w:val="00205CA7"/>
    <w:rsid w:val="00207852"/>
    <w:rsid w:val="002243CC"/>
    <w:rsid w:val="00233ACC"/>
    <w:rsid w:val="0023516D"/>
    <w:rsid w:val="002511B7"/>
    <w:rsid w:val="00261007"/>
    <w:rsid w:val="002657F7"/>
    <w:rsid w:val="00294959"/>
    <w:rsid w:val="002959E4"/>
    <w:rsid w:val="002A374D"/>
    <w:rsid w:val="002C5DA3"/>
    <w:rsid w:val="002C7E95"/>
    <w:rsid w:val="002D3253"/>
    <w:rsid w:val="002F2B16"/>
    <w:rsid w:val="003000D0"/>
    <w:rsid w:val="003018D8"/>
    <w:rsid w:val="00335A80"/>
    <w:rsid w:val="00366A9C"/>
    <w:rsid w:val="00367AFC"/>
    <w:rsid w:val="00372A34"/>
    <w:rsid w:val="003735BC"/>
    <w:rsid w:val="003752C8"/>
    <w:rsid w:val="00385AEE"/>
    <w:rsid w:val="003A1620"/>
    <w:rsid w:val="003B4231"/>
    <w:rsid w:val="003D130E"/>
    <w:rsid w:val="003D6AA6"/>
    <w:rsid w:val="003D72FB"/>
    <w:rsid w:val="003E7834"/>
    <w:rsid w:val="003F091D"/>
    <w:rsid w:val="003F5004"/>
    <w:rsid w:val="003F72FF"/>
    <w:rsid w:val="00420672"/>
    <w:rsid w:val="00434104"/>
    <w:rsid w:val="0043662E"/>
    <w:rsid w:val="00454674"/>
    <w:rsid w:val="0045767F"/>
    <w:rsid w:val="00464D18"/>
    <w:rsid w:val="004670C7"/>
    <w:rsid w:val="00471742"/>
    <w:rsid w:val="004745B4"/>
    <w:rsid w:val="004761C6"/>
    <w:rsid w:val="004856D4"/>
    <w:rsid w:val="00495CEE"/>
    <w:rsid w:val="004A10BE"/>
    <w:rsid w:val="004B56E6"/>
    <w:rsid w:val="004C0D07"/>
    <w:rsid w:val="004D0759"/>
    <w:rsid w:val="004D573A"/>
    <w:rsid w:val="004E48B8"/>
    <w:rsid w:val="005101BB"/>
    <w:rsid w:val="00524A03"/>
    <w:rsid w:val="005328F0"/>
    <w:rsid w:val="00554002"/>
    <w:rsid w:val="00560AC0"/>
    <w:rsid w:val="00572AA9"/>
    <w:rsid w:val="005845C3"/>
    <w:rsid w:val="005B57BF"/>
    <w:rsid w:val="005D60AC"/>
    <w:rsid w:val="005E4994"/>
    <w:rsid w:val="005E574D"/>
    <w:rsid w:val="005E691B"/>
    <w:rsid w:val="005F53AC"/>
    <w:rsid w:val="005F6815"/>
    <w:rsid w:val="005F74FB"/>
    <w:rsid w:val="005F7DFC"/>
    <w:rsid w:val="00603125"/>
    <w:rsid w:val="0060446D"/>
    <w:rsid w:val="00613746"/>
    <w:rsid w:val="00615959"/>
    <w:rsid w:val="00616278"/>
    <w:rsid w:val="00617456"/>
    <w:rsid w:val="00617D0E"/>
    <w:rsid w:val="00624BBF"/>
    <w:rsid w:val="006369C3"/>
    <w:rsid w:val="006378C4"/>
    <w:rsid w:val="00642B28"/>
    <w:rsid w:val="00646668"/>
    <w:rsid w:val="00654903"/>
    <w:rsid w:val="00654ACC"/>
    <w:rsid w:val="0065513E"/>
    <w:rsid w:val="0066742D"/>
    <w:rsid w:val="00674B46"/>
    <w:rsid w:val="006836D3"/>
    <w:rsid w:val="00691EA5"/>
    <w:rsid w:val="00695881"/>
    <w:rsid w:val="006A248E"/>
    <w:rsid w:val="006A5A49"/>
    <w:rsid w:val="006A5B23"/>
    <w:rsid w:val="006B3E26"/>
    <w:rsid w:val="006D0CE9"/>
    <w:rsid w:val="006D28D3"/>
    <w:rsid w:val="006D71B2"/>
    <w:rsid w:val="006E1DD4"/>
    <w:rsid w:val="006F2BB6"/>
    <w:rsid w:val="006F6135"/>
    <w:rsid w:val="00701E5C"/>
    <w:rsid w:val="00702536"/>
    <w:rsid w:val="0071542F"/>
    <w:rsid w:val="00731B60"/>
    <w:rsid w:val="0073484F"/>
    <w:rsid w:val="00735CD0"/>
    <w:rsid w:val="00744F87"/>
    <w:rsid w:val="00746549"/>
    <w:rsid w:val="00756EB5"/>
    <w:rsid w:val="007607BE"/>
    <w:rsid w:val="0076130A"/>
    <w:rsid w:val="007753AE"/>
    <w:rsid w:val="0078341C"/>
    <w:rsid w:val="00790E31"/>
    <w:rsid w:val="00795846"/>
    <w:rsid w:val="0079706E"/>
    <w:rsid w:val="007A0364"/>
    <w:rsid w:val="007A51B4"/>
    <w:rsid w:val="007A7B21"/>
    <w:rsid w:val="007C2CDB"/>
    <w:rsid w:val="007C6EE5"/>
    <w:rsid w:val="007C72F4"/>
    <w:rsid w:val="007D298B"/>
    <w:rsid w:val="007D5457"/>
    <w:rsid w:val="007F1F00"/>
    <w:rsid w:val="007F3503"/>
    <w:rsid w:val="007F7705"/>
    <w:rsid w:val="007F7F7E"/>
    <w:rsid w:val="008011A2"/>
    <w:rsid w:val="00802604"/>
    <w:rsid w:val="00810827"/>
    <w:rsid w:val="0082128C"/>
    <w:rsid w:val="00825B19"/>
    <w:rsid w:val="00845016"/>
    <w:rsid w:val="00850B3D"/>
    <w:rsid w:val="00850E48"/>
    <w:rsid w:val="00855D8C"/>
    <w:rsid w:val="008702B4"/>
    <w:rsid w:val="00870452"/>
    <w:rsid w:val="00872F2A"/>
    <w:rsid w:val="00874F52"/>
    <w:rsid w:val="008759F6"/>
    <w:rsid w:val="0089189B"/>
    <w:rsid w:val="008936C8"/>
    <w:rsid w:val="00896C89"/>
    <w:rsid w:val="008A43AF"/>
    <w:rsid w:val="008B5273"/>
    <w:rsid w:val="008C2F23"/>
    <w:rsid w:val="008C62CE"/>
    <w:rsid w:val="008D525D"/>
    <w:rsid w:val="008E1B77"/>
    <w:rsid w:val="008F78E8"/>
    <w:rsid w:val="00900DF0"/>
    <w:rsid w:val="009020BF"/>
    <w:rsid w:val="009046E0"/>
    <w:rsid w:val="00914FB9"/>
    <w:rsid w:val="00921775"/>
    <w:rsid w:val="00945528"/>
    <w:rsid w:val="00953567"/>
    <w:rsid w:val="00953570"/>
    <w:rsid w:val="009719FA"/>
    <w:rsid w:val="009724F5"/>
    <w:rsid w:val="009733BF"/>
    <w:rsid w:val="009749A1"/>
    <w:rsid w:val="009808E1"/>
    <w:rsid w:val="00982BED"/>
    <w:rsid w:val="00985618"/>
    <w:rsid w:val="00990107"/>
    <w:rsid w:val="0099485F"/>
    <w:rsid w:val="009A07AD"/>
    <w:rsid w:val="009A49B0"/>
    <w:rsid w:val="009A5857"/>
    <w:rsid w:val="009B2E1C"/>
    <w:rsid w:val="009D0442"/>
    <w:rsid w:val="009D14EC"/>
    <w:rsid w:val="009D3D53"/>
    <w:rsid w:val="009D5EBA"/>
    <w:rsid w:val="009F1E28"/>
    <w:rsid w:val="00A23B64"/>
    <w:rsid w:val="00A25263"/>
    <w:rsid w:val="00A27FEF"/>
    <w:rsid w:val="00A30C3F"/>
    <w:rsid w:val="00A317E0"/>
    <w:rsid w:val="00A40EE1"/>
    <w:rsid w:val="00A4296A"/>
    <w:rsid w:val="00A4593C"/>
    <w:rsid w:val="00A46FB1"/>
    <w:rsid w:val="00A62471"/>
    <w:rsid w:val="00A77239"/>
    <w:rsid w:val="00A84CE8"/>
    <w:rsid w:val="00A923C2"/>
    <w:rsid w:val="00A942CC"/>
    <w:rsid w:val="00AA0147"/>
    <w:rsid w:val="00AA7408"/>
    <w:rsid w:val="00AB3066"/>
    <w:rsid w:val="00AB56C4"/>
    <w:rsid w:val="00AC79EC"/>
    <w:rsid w:val="00AD349B"/>
    <w:rsid w:val="00AE03B9"/>
    <w:rsid w:val="00AE3596"/>
    <w:rsid w:val="00AE3CDB"/>
    <w:rsid w:val="00AE6FEA"/>
    <w:rsid w:val="00B03DCD"/>
    <w:rsid w:val="00B14CA8"/>
    <w:rsid w:val="00B21DB3"/>
    <w:rsid w:val="00B4430C"/>
    <w:rsid w:val="00B50688"/>
    <w:rsid w:val="00B5096E"/>
    <w:rsid w:val="00B54971"/>
    <w:rsid w:val="00B56B9B"/>
    <w:rsid w:val="00B56CEF"/>
    <w:rsid w:val="00B57AF9"/>
    <w:rsid w:val="00B57F97"/>
    <w:rsid w:val="00B63EC5"/>
    <w:rsid w:val="00B66272"/>
    <w:rsid w:val="00B71F65"/>
    <w:rsid w:val="00B732CC"/>
    <w:rsid w:val="00B74FC3"/>
    <w:rsid w:val="00B87295"/>
    <w:rsid w:val="00B90E44"/>
    <w:rsid w:val="00B9196E"/>
    <w:rsid w:val="00BC583C"/>
    <w:rsid w:val="00BD0A0D"/>
    <w:rsid w:val="00BD1729"/>
    <w:rsid w:val="00BD2747"/>
    <w:rsid w:val="00BD35A5"/>
    <w:rsid w:val="00BE578A"/>
    <w:rsid w:val="00BF5A66"/>
    <w:rsid w:val="00C034F8"/>
    <w:rsid w:val="00C1153A"/>
    <w:rsid w:val="00C17309"/>
    <w:rsid w:val="00C4195D"/>
    <w:rsid w:val="00C50B26"/>
    <w:rsid w:val="00C56FC8"/>
    <w:rsid w:val="00C6454B"/>
    <w:rsid w:val="00C7018A"/>
    <w:rsid w:val="00C83EAE"/>
    <w:rsid w:val="00C960CD"/>
    <w:rsid w:val="00CB2E39"/>
    <w:rsid w:val="00CC75DA"/>
    <w:rsid w:val="00CF2E7A"/>
    <w:rsid w:val="00CF37E9"/>
    <w:rsid w:val="00D02115"/>
    <w:rsid w:val="00D063FB"/>
    <w:rsid w:val="00D115C7"/>
    <w:rsid w:val="00D16ED6"/>
    <w:rsid w:val="00D17241"/>
    <w:rsid w:val="00D265E5"/>
    <w:rsid w:val="00D31E85"/>
    <w:rsid w:val="00D36394"/>
    <w:rsid w:val="00D47878"/>
    <w:rsid w:val="00D52B16"/>
    <w:rsid w:val="00D53652"/>
    <w:rsid w:val="00D55C34"/>
    <w:rsid w:val="00D66A2C"/>
    <w:rsid w:val="00D742AB"/>
    <w:rsid w:val="00D8571C"/>
    <w:rsid w:val="00D85E8C"/>
    <w:rsid w:val="00D93B3D"/>
    <w:rsid w:val="00D957C6"/>
    <w:rsid w:val="00DA3BD3"/>
    <w:rsid w:val="00DA6CA8"/>
    <w:rsid w:val="00DC54CE"/>
    <w:rsid w:val="00DC775C"/>
    <w:rsid w:val="00DD264B"/>
    <w:rsid w:val="00DD75D2"/>
    <w:rsid w:val="00DF6F0E"/>
    <w:rsid w:val="00E012FB"/>
    <w:rsid w:val="00E05F02"/>
    <w:rsid w:val="00E0600D"/>
    <w:rsid w:val="00E10B12"/>
    <w:rsid w:val="00E1120F"/>
    <w:rsid w:val="00E20C9D"/>
    <w:rsid w:val="00E328E8"/>
    <w:rsid w:val="00E4275C"/>
    <w:rsid w:val="00E65798"/>
    <w:rsid w:val="00E657C4"/>
    <w:rsid w:val="00E716BE"/>
    <w:rsid w:val="00E84C51"/>
    <w:rsid w:val="00E93191"/>
    <w:rsid w:val="00EA2D78"/>
    <w:rsid w:val="00EB24BB"/>
    <w:rsid w:val="00EE0093"/>
    <w:rsid w:val="00EE2654"/>
    <w:rsid w:val="00EF0BCF"/>
    <w:rsid w:val="00EF16AC"/>
    <w:rsid w:val="00F12DEC"/>
    <w:rsid w:val="00F132F2"/>
    <w:rsid w:val="00F32E7A"/>
    <w:rsid w:val="00F341BB"/>
    <w:rsid w:val="00F456E8"/>
    <w:rsid w:val="00F45EC1"/>
    <w:rsid w:val="00F51F9D"/>
    <w:rsid w:val="00F65AC0"/>
    <w:rsid w:val="00F66722"/>
    <w:rsid w:val="00F87283"/>
    <w:rsid w:val="00F93E22"/>
    <w:rsid w:val="00FA4BD4"/>
    <w:rsid w:val="00FB070F"/>
    <w:rsid w:val="00FB1CCC"/>
    <w:rsid w:val="00FB31B5"/>
    <w:rsid w:val="00FB70E3"/>
    <w:rsid w:val="00FB75B9"/>
    <w:rsid w:val="00FC0BF8"/>
    <w:rsid w:val="00FF0768"/>
    <w:rsid w:val="00FF2C55"/>
    <w:rsid w:val="00FF336A"/>
    <w:rsid w:val="010351AA"/>
    <w:rsid w:val="010372FF"/>
    <w:rsid w:val="0116312F"/>
    <w:rsid w:val="01203FAE"/>
    <w:rsid w:val="01374E54"/>
    <w:rsid w:val="013E61E2"/>
    <w:rsid w:val="013F77F9"/>
    <w:rsid w:val="014029CF"/>
    <w:rsid w:val="01437C9C"/>
    <w:rsid w:val="01505625"/>
    <w:rsid w:val="01527E42"/>
    <w:rsid w:val="0156177E"/>
    <w:rsid w:val="016E28C5"/>
    <w:rsid w:val="01791910"/>
    <w:rsid w:val="01863F3E"/>
    <w:rsid w:val="018D05C8"/>
    <w:rsid w:val="01A73D87"/>
    <w:rsid w:val="01AB4314"/>
    <w:rsid w:val="01B9731E"/>
    <w:rsid w:val="01C40420"/>
    <w:rsid w:val="01C901A1"/>
    <w:rsid w:val="01CA0B0B"/>
    <w:rsid w:val="01CD7566"/>
    <w:rsid w:val="01CF07F7"/>
    <w:rsid w:val="01D0231A"/>
    <w:rsid w:val="01D34B7C"/>
    <w:rsid w:val="01D54BFB"/>
    <w:rsid w:val="01D66A1A"/>
    <w:rsid w:val="01DA7527"/>
    <w:rsid w:val="01DD59FB"/>
    <w:rsid w:val="01FF3BC3"/>
    <w:rsid w:val="02110581"/>
    <w:rsid w:val="021146F3"/>
    <w:rsid w:val="0214461A"/>
    <w:rsid w:val="02230F24"/>
    <w:rsid w:val="0224187C"/>
    <w:rsid w:val="02355837"/>
    <w:rsid w:val="02477318"/>
    <w:rsid w:val="025A529E"/>
    <w:rsid w:val="025A704C"/>
    <w:rsid w:val="025B3E9C"/>
    <w:rsid w:val="02685C0C"/>
    <w:rsid w:val="0279746C"/>
    <w:rsid w:val="028916DF"/>
    <w:rsid w:val="028B2E5A"/>
    <w:rsid w:val="02A35AD5"/>
    <w:rsid w:val="02AD0858"/>
    <w:rsid w:val="02AE55E9"/>
    <w:rsid w:val="02DD1A2B"/>
    <w:rsid w:val="02E511D2"/>
    <w:rsid w:val="02E912A5"/>
    <w:rsid w:val="02FA61B4"/>
    <w:rsid w:val="030376E3"/>
    <w:rsid w:val="030516AD"/>
    <w:rsid w:val="030B2E58"/>
    <w:rsid w:val="030F2E07"/>
    <w:rsid w:val="03190CB5"/>
    <w:rsid w:val="03200295"/>
    <w:rsid w:val="032A1114"/>
    <w:rsid w:val="032F44A6"/>
    <w:rsid w:val="03327FC8"/>
    <w:rsid w:val="034877EC"/>
    <w:rsid w:val="034A70C0"/>
    <w:rsid w:val="03630182"/>
    <w:rsid w:val="03667C72"/>
    <w:rsid w:val="037C7496"/>
    <w:rsid w:val="03830824"/>
    <w:rsid w:val="038500F8"/>
    <w:rsid w:val="038D16A3"/>
    <w:rsid w:val="038D5773"/>
    <w:rsid w:val="039A478F"/>
    <w:rsid w:val="039C5442"/>
    <w:rsid w:val="039F78D2"/>
    <w:rsid w:val="03B53796"/>
    <w:rsid w:val="03B66504"/>
    <w:rsid w:val="03BB5C30"/>
    <w:rsid w:val="03BF0BEC"/>
    <w:rsid w:val="03C07382"/>
    <w:rsid w:val="03C50E3C"/>
    <w:rsid w:val="03CE1846"/>
    <w:rsid w:val="03CF05F7"/>
    <w:rsid w:val="03F46525"/>
    <w:rsid w:val="0405748B"/>
    <w:rsid w:val="04185410"/>
    <w:rsid w:val="041D6583"/>
    <w:rsid w:val="04245544"/>
    <w:rsid w:val="04274B96"/>
    <w:rsid w:val="042913CB"/>
    <w:rsid w:val="042E253E"/>
    <w:rsid w:val="04330849"/>
    <w:rsid w:val="04344818"/>
    <w:rsid w:val="04351B1E"/>
    <w:rsid w:val="04483A5E"/>
    <w:rsid w:val="04587485"/>
    <w:rsid w:val="04672E82"/>
    <w:rsid w:val="04684988"/>
    <w:rsid w:val="046B19E4"/>
    <w:rsid w:val="046B5540"/>
    <w:rsid w:val="047A391E"/>
    <w:rsid w:val="047F4CE4"/>
    <w:rsid w:val="04836FE2"/>
    <w:rsid w:val="048B3E34"/>
    <w:rsid w:val="049802FF"/>
    <w:rsid w:val="04B0389B"/>
    <w:rsid w:val="04D23811"/>
    <w:rsid w:val="04D72B17"/>
    <w:rsid w:val="04DF7CDC"/>
    <w:rsid w:val="04E9233C"/>
    <w:rsid w:val="04EC458F"/>
    <w:rsid w:val="050414F1"/>
    <w:rsid w:val="050B287F"/>
    <w:rsid w:val="051269F7"/>
    <w:rsid w:val="051A33FA"/>
    <w:rsid w:val="05506531"/>
    <w:rsid w:val="055165CD"/>
    <w:rsid w:val="05687F3F"/>
    <w:rsid w:val="056947F6"/>
    <w:rsid w:val="056E368F"/>
    <w:rsid w:val="05723828"/>
    <w:rsid w:val="05770A1D"/>
    <w:rsid w:val="057F6DC9"/>
    <w:rsid w:val="05856AD5"/>
    <w:rsid w:val="05921402"/>
    <w:rsid w:val="05962B5E"/>
    <w:rsid w:val="05965D41"/>
    <w:rsid w:val="05AA26A4"/>
    <w:rsid w:val="05AB583D"/>
    <w:rsid w:val="05C1129F"/>
    <w:rsid w:val="05C321A6"/>
    <w:rsid w:val="05CC016E"/>
    <w:rsid w:val="05D34B14"/>
    <w:rsid w:val="05D435B9"/>
    <w:rsid w:val="05D9472B"/>
    <w:rsid w:val="05DE06A4"/>
    <w:rsid w:val="05E513C3"/>
    <w:rsid w:val="05FD666C"/>
    <w:rsid w:val="05FE0636"/>
    <w:rsid w:val="060209FE"/>
    <w:rsid w:val="060A7835"/>
    <w:rsid w:val="060C342F"/>
    <w:rsid w:val="06181A95"/>
    <w:rsid w:val="062C6F51"/>
    <w:rsid w:val="06334642"/>
    <w:rsid w:val="063369A7"/>
    <w:rsid w:val="063F4ED6"/>
    <w:rsid w:val="064A5629"/>
    <w:rsid w:val="065048F3"/>
    <w:rsid w:val="065564A8"/>
    <w:rsid w:val="06604E4C"/>
    <w:rsid w:val="0662512B"/>
    <w:rsid w:val="06824DC3"/>
    <w:rsid w:val="068D0DE1"/>
    <w:rsid w:val="06A44D39"/>
    <w:rsid w:val="06A82EB5"/>
    <w:rsid w:val="06B623E7"/>
    <w:rsid w:val="06BA455D"/>
    <w:rsid w:val="06C02FD6"/>
    <w:rsid w:val="06C07699"/>
    <w:rsid w:val="06C23411"/>
    <w:rsid w:val="06C55032"/>
    <w:rsid w:val="06CE1DB6"/>
    <w:rsid w:val="06D73FCD"/>
    <w:rsid w:val="06E778CF"/>
    <w:rsid w:val="06F757B1"/>
    <w:rsid w:val="07100621"/>
    <w:rsid w:val="07194B34"/>
    <w:rsid w:val="071E2D3E"/>
    <w:rsid w:val="07260A72"/>
    <w:rsid w:val="072B0FB7"/>
    <w:rsid w:val="073562D9"/>
    <w:rsid w:val="073E6F3C"/>
    <w:rsid w:val="07481042"/>
    <w:rsid w:val="07493DE4"/>
    <w:rsid w:val="07496665"/>
    <w:rsid w:val="074B6607"/>
    <w:rsid w:val="074D2A37"/>
    <w:rsid w:val="0753050D"/>
    <w:rsid w:val="075C3866"/>
    <w:rsid w:val="077C5CB6"/>
    <w:rsid w:val="077D5784"/>
    <w:rsid w:val="07823A0B"/>
    <w:rsid w:val="078A03D3"/>
    <w:rsid w:val="078D1495"/>
    <w:rsid w:val="079045DF"/>
    <w:rsid w:val="07A27EEC"/>
    <w:rsid w:val="07A4524A"/>
    <w:rsid w:val="07B86F45"/>
    <w:rsid w:val="07C3042D"/>
    <w:rsid w:val="07CD02C0"/>
    <w:rsid w:val="07D77390"/>
    <w:rsid w:val="07D96C64"/>
    <w:rsid w:val="07EA73FB"/>
    <w:rsid w:val="07F20AA2"/>
    <w:rsid w:val="07FE491D"/>
    <w:rsid w:val="08055922"/>
    <w:rsid w:val="080737D2"/>
    <w:rsid w:val="081E0D52"/>
    <w:rsid w:val="083251D0"/>
    <w:rsid w:val="08410120"/>
    <w:rsid w:val="08512C9F"/>
    <w:rsid w:val="08547718"/>
    <w:rsid w:val="086E55FF"/>
    <w:rsid w:val="086F1377"/>
    <w:rsid w:val="087846CF"/>
    <w:rsid w:val="08874912"/>
    <w:rsid w:val="088A7F5F"/>
    <w:rsid w:val="08994626"/>
    <w:rsid w:val="089F7EAE"/>
    <w:rsid w:val="08A35EA1"/>
    <w:rsid w:val="08B651F8"/>
    <w:rsid w:val="08D519CD"/>
    <w:rsid w:val="08DF010E"/>
    <w:rsid w:val="08F04266"/>
    <w:rsid w:val="08F27B0E"/>
    <w:rsid w:val="08FE7BA5"/>
    <w:rsid w:val="091276E9"/>
    <w:rsid w:val="092819E4"/>
    <w:rsid w:val="092A7456"/>
    <w:rsid w:val="092E1232"/>
    <w:rsid w:val="093E54D7"/>
    <w:rsid w:val="094378C9"/>
    <w:rsid w:val="09455EB2"/>
    <w:rsid w:val="09475E50"/>
    <w:rsid w:val="09644C54"/>
    <w:rsid w:val="09694018"/>
    <w:rsid w:val="097053A7"/>
    <w:rsid w:val="0972111F"/>
    <w:rsid w:val="09736C45"/>
    <w:rsid w:val="098826F0"/>
    <w:rsid w:val="098B02D9"/>
    <w:rsid w:val="098F6E75"/>
    <w:rsid w:val="09A17C56"/>
    <w:rsid w:val="09A514F4"/>
    <w:rsid w:val="09AC43A5"/>
    <w:rsid w:val="09AE7DD8"/>
    <w:rsid w:val="09B57186"/>
    <w:rsid w:val="09B74D83"/>
    <w:rsid w:val="09C556F2"/>
    <w:rsid w:val="09C87915"/>
    <w:rsid w:val="09CC53E6"/>
    <w:rsid w:val="09D9119E"/>
    <w:rsid w:val="09DE3D12"/>
    <w:rsid w:val="09DF6712"/>
    <w:rsid w:val="09E244F6"/>
    <w:rsid w:val="09E71B0D"/>
    <w:rsid w:val="09E722C6"/>
    <w:rsid w:val="09EA5159"/>
    <w:rsid w:val="09EB474D"/>
    <w:rsid w:val="09ED4C49"/>
    <w:rsid w:val="09ED6822"/>
    <w:rsid w:val="09FA44B0"/>
    <w:rsid w:val="0A140428"/>
    <w:rsid w:val="0A1F0420"/>
    <w:rsid w:val="0A290532"/>
    <w:rsid w:val="0A3563AB"/>
    <w:rsid w:val="0A3F558F"/>
    <w:rsid w:val="0A430D0D"/>
    <w:rsid w:val="0A466107"/>
    <w:rsid w:val="0A5627EE"/>
    <w:rsid w:val="0A64315D"/>
    <w:rsid w:val="0A6970FA"/>
    <w:rsid w:val="0A71587A"/>
    <w:rsid w:val="0A913826"/>
    <w:rsid w:val="0ABC45EB"/>
    <w:rsid w:val="0ADA51CD"/>
    <w:rsid w:val="0AFA5870"/>
    <w:rsid w:val="0AFC15E8"/>
    <w:rsid w:val="0AFD710E"/>
    <w:rsid w:val="0AFF2E86"/>
    <w:rsid w:val="0B017CE9"/>
    <w:rsid w:val="0B125D8C"/>
    <w:rsid w:val="0B141D0B"/>
    <w:rsid w:val="0B2C354F"/>
    <w:rsid w:val="0B352404"/>
    <w:rsid w:val="0B424B21"/>
    <w:rsid w:val="0B503FFE"/>
    <w:rsid w:val="0B64718D"/>
    <w:rsid w:val="0B6E668C"/>
    <w:rsid w:val="0B73117E"/>
    <w:rsid w:val="0B783F53"/>
    <w:rsid w:val="0B832C7E"/>
    <w:rsid w:val="0B8D66E4"/>
    <w:rsid w:val="0B9058AF"/>
    <w:rsid w:val="0BAC2AF2"/>
    <w:rsid w:val="0BC419DA"/>
    <w:rsid w:val="0BD41297"/>
    <w:rsid w:val="0BD54DED"/>
    <w:rsid w:val="0BEE2A77"/>
    <w:rsid w:val="0BEF2EFA"/>
    <w:rsid w:val="0BFB3AEE"/>
    <w:rsid w:val="0BFF1C05"/>
    <w:rsid w:val="0C007AEE"/>
    <w:rsid w:val="0C0F4B2A"/>
    <w:rsid w:val="0C0F631D"/>
    <w:rsid w:val="0C1D4B5C"/>
    <w:rsid w:val="0C293187"/>
    <w:rsid w:val="0C2D3A23"/>
    <w:rsid w:val="0C314E61"/>
    <w:rsid w:val="0C4705C0"/>
    <w:rsid w:val="0C497853"/>
    <w:rsid w:val="0C4D5E73"/>
    <w:rsid w:val="0C553E4A"/>
    <w:rsid w:val="0C6371CF"/>
    <w:rsid w:val="0C654F6B"/>
    <w:rsid w:val="0C6E02C3"/>
    <w:rsid w:val="0C741652"/>
    <w:rsid w:val="0C7E7DDA"/>
    <w:rsid w:val="0C874AB1"/>
    <w:rsid w:val="0C966C43"/>
    <w:rsid w:val="0CA337A5"/>
    <w:rsid w:val="0CB56FDE"/>
    <w:rsid w:val="0CB87790"/>
    <w:rsid w:val="0CBA3508"/>
    <w:rsid w:val="0CC4270B"/>
    <w:rsid w:val="0CDB7D87"/>
    <w:rsid w:val="0CE64357"/>
    <w:rsid w:val="0CE822DB"/>
    <w:rsid w:val="0CEC3B1B"/>
    <w:rsid w:val="0CEE4F60"/>
    <w:rsid w:val="0CF02E12"/>
    <w:rsid w:val="0CF54541"/>
    <w:rsid w:val="0CFC6563"/>
    <w:rsid w:val="0D013602"/>
    <w:rsid w:val="0D04565D"/>
    <w:rsid w:val="0D0C5492"/>
    <w:rsid w:val="0D0E115E"/>
    <w:rsid w:val="0D135FD2"/>
    <w:rsid w:val="0D230698"/>
    <w:rsid w:val="0D2C3CDA"/>
    <w:rsid w:val="0D385F75"/>
    <w:rsid w:val="0D533860"/>
    <w:rsid w:val="0D565C09"/>
    <w:rsid w:val="0D5E0AEA"/>
    <w:rsid w:val="0D626FEA"/>
    <w:rsid w:val="0D8D2E85"/>
    <w:rsid w:val="0D9E1D44"/>
    <w:rsid w:val="0D9F5797"/>
    <w:rsid w:val="0DBB4F33"/>
    <w:rsid w:val="0DC32964"/>
    <w:rsid w:val="0DCA4354"/>
    <w:rsid w:val="0DE469DA"/>
    <w:rsid w:val="0DF30354"/>
    <w:rsid w:val="0E0B7D94"/>
    <w:rsid w:val="0E1704E7"/>
    <w:rsid w:val="0E236B1B"/>
    <w:rsid w:val="0E265DEE"/>
    <w:rsid w:val="0E2F3A82"/>
    <w:rsid w:val="0E3015A8"/>
    <w:rsid w:val="0E303356"/>
    <w:rsid w:val="0E304730"/>
    <w:rsid w:val="0E414602"/>
    <w:rsid w:val="0E4B5059"/>
    <w:rsid w:val="0E4D5CB6"/>
    <w:rsid w:val="0E530E38"/>
    <w:rsid w:val="0E594522"/>
    <w:rsid w:val="0E6360AE"/>
    <w:rsid w:val="0E715E49"/>
    <w:rsid w:val="0E7E5744"/>
    <w:rsid w:val="0E8A515C"/>
    <w:rsid w:val="0E8F45F1"/>
    <w:rsid w:val="0E9438E5"/>
    <w:rsid w:val="0E9503CA"/>
    <w:rsid w:val="0E963B01"/>
    <w:rsid w:val="0EAF24CD"/>
    <w:rsid w:val="0EAF28F7"/>
    <w:rsid w:val="0EB87144"/>
    <w:rsid w:val="0ED2440E"/>
    <w:rsid w:val="0ED85EC8"/>
    <w:rsid w:val="0ED9769B"/>
    <w:rsid w:val="0EDC6E22"/>
    <w:rsid w:val="0EDE14D2"/>
    <w:rsid w:val="0EE41D10"/>
    <w:rsid w:val="0EF12AE6"/>
    <w:rsid w:val="0EF1398E"/>
    <w:rsid w:val="0EF97BEC"/>
    <w:rsid w:val="0EFC576A"/>
    <w:rsid w:val="0F136F00"/>
    <w:rsid w:val="0F146EAA"/>
    <w:rsid w:val="0F16254C"/>
    <w:rsid w:val="0F18170A"/>
    <w:rsid w:val="0F1F3AF7"/>
    <w:rsid w:val="0F224D75"/>
    <w:rsid w:val="0F2E6E4B"/>
    <w:rsid w:val="0F3052F1"/>
    <w:rsid w:val="0F404646"/>
    <w:rsid w:val="0F474DFC"/>
    <w:rsid w:val="0F503CB0"/>
    <w:rsid w:val="0F5512C6"/>
    <w:rsid w:val="0F562068"/>
    <w:rsid w:val="0F60758C"/>
    <w:rsid w:val="0F6B0AEA"/>
    <w:rsid w:val="0F707EAE"/>
    <w:rsid w:val="0F81030D"/>
    <w:rsid w:val="0F8C4EA2"/>
    <w:rsid w:val="0F905034"/>
    <w:rsid w:val="0FB51D65"/>
    <w:rsid w:val="0FD348E1"/>
    <w:rsid w:val="0FDC5544"/>
    <w:rsid w:val="0FE15FBE"/>
    <w:rsid w:val="0FE54C07"/>
    <w:rsid w:val="0FEE5277"/>
    <w:rsid w:val="0FF30ADF"/>
    <w:rsid w:val="0FF33D68"/>
    <w:rsid w:val="0FF46710"/>
    <w:rsid w:val="0FF52AA9"/>
    <w:rsid w:val="0FFA587C"/>
    <w:rsid w:val="0FFC1742"/>
    <w:rsid w:val="101F658C"/>
    <w:rsid w:val="10233173"/>
    <w:rsid w:val="1025513D"/>
    <w:rsid w:val="10480E2B"/>
    <w:rsid w:val="104B26C9"/>
    <w:rsid w:val="104D4694"/>
    <w:rsid w:val="105E7F3B"/>
    <w:rsid w:val="106E1E0F"/>
    <w:rsid w:val="107533FF"/>
    <w:rsid w:val="107B2FAF"/>
    <w:rsid w:val="108A473A"/>
    <w:rsid w:val="109C2F25"/>
    <w:rsid w:val="10A5002C"/>
    <w:rsid w:val="10AF43CE"/>
    <w:rsid w:val="10B65D95"/>
    <w:rsid w:val="10B763A2"/>
    <w:rsid w:val="10BF1BA2"/>
    <w:rsid w:val="10D75D0B"/>
    <w:rsid w:val="10DA2784"/>
    <w:rsid w:val="10DE353E"/>
    <w:rsid w:val="10E03636"/>
    <w:rsid w:val="10E741A0"/>
    <w:rsid w:val="10EE19D3"/>
    <w:rsid w:val="10F23650"/>
    <w:rsid w:val="10FC5772"/>
    <w:rsid w:val="110A37CD"/>
    <w:rsid w:val="110D797F"/>
    <w:rsid w:val="110F2B3B"/>
    <w:rsid w:val="11102AB1"/>
    <w:rsid w:val="111451B1"/>
    <w:rsid w:val="111E393A"/>
    <w:rsid w:val="11205904"/>
    <w:rsid w:val="112C24FB"/>
    <w:rsid w:val="113C7F1C"/>
    <w:rsid w:val="113D64B6"/>
    <w:rsid w:val="11457FEC"/>
    <w:rsid w:val="1148249E"/>
    <w:rsid w:val="11494E5B"/>
    <w:rsid w:val="114A32C1"/>
    <w:rsid w:val="114D086D"/>
    <w:rsid w:val="114F68B3"/>
    <w:rsid w:val="115D26B4"/>
    <w:rsid w:val="11785740"/>
    <w:rsid w:val="11963E18"/>
    <w:rsid w:val="11AF7CCD"/>
    <w:rsid w:val="11B01B7C"/>
    <w:rsid w:val="11B206CF"/>
    <w:rsid w:val="11BD735F"/>
    <w:rsid w:val="11C6025A"/>
    <w:rsid w:val="11D706B9"/>
    <w:rsid w:val="11E16D70"/>
    <w:rsid w:val="11E64F65"/>
    <w:rsid w:val="11EB5F12"/>
    <w:rsid w:val="11F67A95"/>
    <w:rsid w:val="11F74311"/>
    <w:rsid w:val="12057B1E"/>
    <w:rsid w:val="12107866"/>
    <w:rsid w:val="12154D3D"/>
    <w:rsid w:val="12171F2A"/>
    <w:rsid w:val="12353631"/>
    <w:rsid w:val="12354EAF"/>
    <w:rsid w:val="123C7058"/>
    <w:rsid w:val="125E5CEE"/>
    <w:rsid w:val="126B0E01"/>
    <w:rsid w:val="126B3D39"/>
    <w:rsid w:val="128A53C6"/>
    <w:rsid w:val="128A6264"/>
    <w:rsid w:val="128B14A3"/>
    <w:rsid w:val="128E092B"/>
    <w:rsid w:val="129245E0"/>
    <w:rsid w:val="12B96010"/>
    <w:rsid w:val="12BE7550"/>
    <w:rsid w:val="12BE7E47"/>
    <w:rsid w:val="12C549B5"/>
    <w:rsid w:val="12CF23E5"/>
    <w:rsid w:val="12D469A6"/>
    <w:rsid w:val="12E070F9"/>
    <w:rsid w:val="12E3308D"/>
    <w:rsid w:val="12E52961"/>
    <w:rsid w:val="12E828A6"/>
    <w:rsid w:val="12EB0686"/>
    <w:rsid w:val="12F473A6"/>
    <w:rsid w:val="12F8504A"/>
    <w:rsid w:val="12FB03D7"/>
    <w:rsid w:val="12FB2185"/>
    <w:rsid w:val="12FD414F"/>
    <w:rsid w:val="131B412C"/>
    <w:rsid w:val="132C233E"/>
    <w:rsid w:val="133E02C4"/>
    <w:rsid w:val="13517FF7"/>
    <w:rsid w:val="13541895"/>
    <w:rsid w:val="13567B45"/>
    <w:rsid w:val="135B2C24"/>
    <w:rsid w:val="13781215"/>
    <w:rsid w:val="13806E42"/>
    <w:rsid w:val="13907869"/>
    <w:rsid w:val="13924778"/>
    <w:rsid w:val="139879D4"/>
    <w:rsid w:val="13987A29"/>
    <w:rsid w:val="139D5CD8"/>
    <w:rsid w:val="13AB45BF"/>
    <w:rsid w:val="13B642FE"/>
    <w:rsid w:val="13CB7DA9"/>
    <w:rsid w:val="13D32F9A"/>
    <w:rsid w:val="13D33102"/>
    <w:rsid w:val="13D700C0"/>
    <w:rsid w:val="13D719C7"/>
    <w:rsid w:val="13DA623E"/>
    <w:rsid w:val="13DB5B12"/>
    <w:rsid w:val="13EF54E8"/>
    <w:rsid w:val="13F77606"/>
    <w:rsid w:val="14072DAB"/>
    <w:rsid w:val="14074537"/>
    <w:rsid w:val="140C03C2"/>
    <w:rsid w:val="141D25CF"/>
    <w:rsid w:val="141D2C58"/>
    <w:rsid w:val="143116A9"/>
    <w:rsid w:val="143C7B9B"/>
    <w:rsid w:val="14487D3B"/>
    <w:rsid w:val="144D6A10"/>
    <w:rsid w:val="145A2050"/>
    <w:rsid w:val="14655DD2"/>
    <w:rsid w:val="147815B3"/>
    <w:rsid w:val="147A373C"/>
    <w:rsid w:val="147B69EE"/>
    <w:rsid w:val="14847AA3"/>
    <w:rsid w:val="14860174"/>
    <w:rsid w:val="1493417A"/>
    <w:rsid w:val="14940A58"/>
    <w:rsid w:val="14A171E4"/>
    <w:rsid w:val="14AC513B"/>
    <w:rsid w:val="14AD3953"/>
    <w:rsid w:val="14AE3227"/>
    <w:rsid w:val="14B95E54"/>
    <w:rsid w:val="14C7770A"/>
    <w:rsid w:val="14E32ED1"/>
    <w:rsid w:val="14E37374"/>
    <w:rsid w:val="14FF6247"/>
    <w:rsid w:val="15080B89"/>
    <w:rsid w:val="151E6C0C"/>
    <w:rsid w:val="152720EB"/>
    <w:rsid w:val="15323E58"/>
    <w:rsid w:val="15346FAB"/>
    <w:rsid w:val="15443C79"/>
    <w:rsid w:val="154708BC"/>
    <w:rsid w:val="15545B7C"/>
    <w:rsid w:val="1585042C"/>
    <w:rsid w:val="15A308B2"/>
    <w:rsid w:val="15A44D56"/>
    <w:rsid w:val="15A5462A"/>
    <w:rsid w:val="15A922C4"/>
    <w:rsid w:val="15CA4029"/>
    <w:rsid w:val="15D13671"/>
    <w:rsid w:val="15D62A35"/>
    <w:rsid w:val="15DB004C"/>
    <w:rsid w:val="15E05662"/>
    <w:rsid w:val="15E50ECA"/>
    <w:rsid w:val="16082DF9"/>
    <w:rsid w:val="160E2E54"/>
    <w:rsid w:val="160F0770"/>
    <w:rsid w:val="16201F02"/>
    <w:rsid w:val="16343254"/>
    <w:rsid w:val="163836F0"/>
    <w:rsid w:val="163E7FE3"/>
    <w:rsid w:val="164936C2"/>
    <w:rsid w:val="166C1D72"/>
    <w:rsid w:val="16702E8A"/>
    <w:rsid w:val="16753FFC"/>
    <w:rsid w:val="16B54D41"/>
    <w:rsid w:val="16C273D4"/>
    <w:rsid w:val="16C83F29"/>
    <w:rsid w:val="16CB0A2B"/>
    <w:rsid w:val="16FC471D"/>
    <w:rsid w:val="1703785A"/>
    <w:rsid w:val="170715A7"/>
    <w:rsid w:val="17072BD0"/>
    <w:rsid w:val="17285513"/>
    <w:rsid w:val="172A1B62"/>
    <w:rsid w:val="172F5ECB"/>
    <w:rsid w:val="173A1996"/>
    <w:rsid w:val="173E0892"/>
    <w:rsid w:val="17465999"/>
    <w:rsid w:val="17487963"/>
    <w:rsid w:val="17516817"/>
    <w:rsid w:val="175354C9"/>
    <w:rsid w:val="176037E4"/>
    <w:rsid w:val="17645E5F"/>
    <w:rsid w:val="176E52DC"/>
    <w:rsid w:val="1772148A"/>
    <w:rsid w:val="17780248"/>
    <w:rsid w:val="17856C96"/>
    <w:rsid w:val="178A7F7B"/>
    <w:rsid w:val="178E6726"/>
    <w:rsid w:val="178F4CAA"/>
    <w:rsid w:val="179630F6"/>
    <w:rsid w:val="17BD5C5B"/>
    <w:rsid w:val="17C1746A"/>
    <w:rsid w:val="17C916FD"/>
    <w:rsid w:val="17CC0D80"/>
    <w:rsid w:val="17D9641D"/>
    <w:rsid w:val="17E05DED"/>
    <w:rsid w:val="17E23913"/>
    <w:rsid w:val="17E51F4B"/>
    <w:rsid w:val="17E7717C"/>
    <w:rsid w:val="17F04282"/>
    <w:rsid w:val="1803137F"/>
    <w:rsid w:val="180A2E6A"/>
    <w:rsid w:val="181157F2"/>
    <w:rsid w:val="18155A97"/>
    <w:rsid w:val="18194E5B"/>
    <w:rsid w:val="181D2B9D"/>
    <w:rsid w:val="182300F4"/>
    <w:rsid w:val="1829415E"/>
    <w:rsid w:val="18297794"/>
    <w:rsid w:val="183103F7"/>
    <w:rsid w:val="18420856"/>
    <w:rsid w:val="1843750D"/>
    <w:rsid w:val="18451BE8"/>
    <w:rsid w:val="184A3267"/>
    <w:rsid w:val="18506ACF"/>
    <w:rsid w:val="18620D86"/>
    <w:rsid w:val="188108B2"/>
    <w:rsid w:val="18820B3C"/>
    <w:rsid w:val="1885179A"/>
    <w:rsid w:val="18A4506D"/>
    <w:rsid w:val="18B35092"/>
    <w:rsid w:val="18BD7EDC"/>
    <w:rsid w:val="18C33745"/>
    <w:rsid w:val="18CD27F5"/>
    <w:rsid w:val="18D6503E"/>
    <w:rsid w:val="18DC0363"/>
    <w:rsid w:val="18F5280B"/>
    <w:rsid w:val="18F926EA"/>
    <w:rsid w:val="18FA2EDF"/>
    <w:rsid w:val="19120228"/>
    <w:rsid w:val="19257EE5"/>
    <w:rsid w:val="193D1C1D"/>
    <w:rsid w:val="193D7D6D"/>
    <w:rsid w:val="194D300E"/>
    <w:rsid w:val="195D67D0"/>
    <w:rsid w:val="196547FC"/>
    <w:rsid w:val="197762DD"/>
    <w:rsid w:val="19787E4C"/>
    <w:rsid w:val="19A06CA0"/>
    <w:rsid w:val="19A35324"/>
    <w:rsid w:val="19AC6690"/>
    <w:rsid w:val="19B25567"/>
    <w:rsid w:val="19B36D6D"/>
    <w:rsid w:val="19C84D8B"/>
    <w:rsid w:val="19D379B8"/>
    <w:rsid w:val="19DF187E"/>
    <w:rsid w:val="19E31EED"/>
    <w:rsid w:val="19FD67E3"/>
    <w:rsid w:val="1A004427"/>
    <w:rsid w:val="1A0C111B"/>
    <w:rsid w:val="1A0D5DDB"/>
    <w:rsid w:val="1A0F6516"/>
    <w:rsid w:val="1A1B0FB0"/>
    <w:rsid w:val="1A1C6625"/>
    <w:rsid w:val="1A231FC1"/>
    <w:rsid w:val="1A25616D"/>
    <w:rsid w:val="1A3A2461"/>
    <w:rsid w:val="1A534654"/>
    <w:rsid w:val="1A55661F"/>
    <w:rsid w:val="1A606D71"/>
    <w:rsid w:val="1A6D4D59"/>
    <w:rsid w:val="1A766595"/>
    <w:rsid w:val="1A7A6085"/>
    <w:rsid w:val="1A842C7A"/>
    <w:rsid w:val="1A865ECF"/>
    <w:rsid w:val="1A873CF9"/>
    <w:rsid w:val="1A8F17E2"/>
    <w:rsid w:val="1A8F6645"/>
    <w:rsid w:val="1A9403DF"/>
    <w:rsid w:val="1A974E89"/>
    <w:rsid w:val="1AAB623F"/>
    <w:rsid w:val="1AAE382C"/>
    <w:rsid w:val="1AAE5D2F"/>
    <w:rsid w:val="1AB31597"/>
    <w:rsid w:val="1AC4003B"/>
    <w:rsid w:val="1AC90DBB"/>
    <w:rsid w:val="1AE6196C"/>
    <w:rsid w:val="1AE836F5"/>
    <w:rsid w:val="1B006425"/>
    <w:rsid w:val="1B010554"/>
    <w:rsid w:val="1B0E4A1F"/>
    <w:rsid w:val="1B18076A"/>
    <w:rsid w:val="1B18764C"/>
    <w:rsid w:val="1B2B0B2B"/>
    <w:rsid w:val="1B2B21A0"/>
    <w:rsid w:val="1B337BA0"/>
    <w:rsid w:val="1B3C158C"/>
    <w:rsid w:val="1B3C77DE"/>
    <w:rsid w:val="1B5543FC"/>
    <w:rsid w:val="1B59213E"/>
    <w:rsid w:val="1B5F4060"/>
    <w:rsid w:val="1B740D26"/>
    <w:rsid w:val="1B7B1CF8"/>
    <w:rsid w:val="1B833769"/>
    <w:rsid w:val="1B8A054A"/>
    <w:rsid w:val="1BC3530B"/>
    <w:rsid w:val="1BC51582"/>
    <w:rsid w:val="1BC752FA"/>
    <w:rsid w:val="1BCD5FEE"/>
    <w:rsid w:val="1BE20386"/>
    <w:rsid w:val="1BE340FE"/>
    <w:rsid w:val="1BEF1C89"/>
    <w:rsid w:val="1BEF2AA3"/>
    <w:rsid w:val="1C047384"/>
    <w:rsid w:val="1C077DEC"/>
    <w:rsid w:val="1C0A51E7"/>
    <w:rsid w:val="1C0E33F1"/>
    <w:rsid w:val="1C136593"/>
    <w:rsid w:val="1C1F1C35"/>
    <w:rsid w:val="1C281B11"/>
    <w:rsid w:val="1C2838BF"/>
    <w:rsid w:val="1C294C38"/>
    <w:rsid w:val="1C3A2B7A"/>
    <w:rsid w:val="1C3E3B2D"/>
    <w:rsid w:val="1C47159B"/>
    <w:rsid w:val="1C511068"/>
    <w:rsid w:val="1C5C05F2"/>
    <w:rsid w:val="1C887AFA"/>
    <w:rsid w:val="1C8E4A82"/>
    <w:rsid w:val="1CA301E4"/>
    <w:rsid w:val="1CA7512B"/>
    <w:rsid w:val="1CA90EA4"/>
    <w:rsid w:val="1CAB5AF6"/>
    <w:rsid w:val="1CBB4733"/>
    <w:rsid w:val="1CBC79BA"/>
    <w:rsid w:val="1CC10A02"/>
    <w:rsid w:val="1CC655B2"/>
    <w:rsid w:val="1CCA0DDD"/>
    <w:rsid w:val="1CCC6940"/>
    <w:rsid w:val="1CCD4C51"/>
    <w:rsid w:val="1CCE51CD"/>
    <w:rsid w:val="1CDC1A13"/>
    <w:rsid w:val="1CE968F4"/>
    <w:rsid w:val="1D0B0DCA"/>
    <w:rsid w:val="1D0F7F38"/>
    <w:rsid w:val="1D126A49"/>
    <w:rsid w:val="1D14062C"/>
    <w:rsid w:val="1D210A3A"/>
    <w:rsid w:val="1D2441FA"/>
    <w:rsid w:val="1D2C40BC"/>
    <w:rsid w:val="1D2F0382"/>
    <w:rsid w:val="1D3137F6"/>
    <w:rsid w:val="1D334FD2"/>
    <w:rsid w:val="1D344C11"/>
    <w:rsid w:val="1D44408A"/>
    <w:rsid w:val="1D484219"/>
    <w:rsid w:val="1D50493A"/>
    <w:rsid w:val="1D5D57EA"/>
    <w:rsid w:val="1D725743"/>
    <w:rsid w:val="1D8773D9"/>
    <w:rsid w:val="1D8D2292"/>
    <w:rsid w:val="1D8F1E47"/>
    <w:rsid w:val="1D957C82"/>
    <w:rsid w:val="1D970CFC"/>
    <w:rsid w:val="1DBB62D1"/>
    <w:rsid w:val="1DBC636B"/>
    <w:rsid w:val="1DC046F7"/>
    <w:rsid w:val="1DC37D43"/>
    <w:rsid w:val="1DC62916"/>
    <w:rsid w:val="1DC82658"/>
    <w:rsid w:val="1DCF493A"/>
    <w:rsid w:val="1DD56615"/>
    <w:rsid w:val="1DE963F2"/>
    <w:rsid w:val="1DED4DC0"/>
    <w:rsid w:val="1E032442"/>
    <w:rsid w:val="1E05187C"/>
    <w:rsid w:val="1E0D7210"/>
    <w:rsid w:val="1E116D00"/>
    <w:rsid w:val="1E122A78"/>
    <w:rsid w:val="1E206F43"/>
    <w:rsid w:val="1E396ABD"/>
    <w:rsid w:val="1E464F7E"/>
    <w:rsid w:val="1E4E2089"/>
    <w:rsid w:val="1E523E8D"/>
    <w:rsid w:val="1E64507F"/>
    <w:rsid w:val="1E7306A1"/>
    <w:rsid w:val="1E7726E6"/>
    <w:rsid w:val="1E894AE9"/>
    <w:rsid w:val="1E8F1635"/>
    <w:rsid w:val="1E952C15"/>
    <w:rsid w:val="1E971BD5"/>
    <w:rsid w:val="1EA0258F"/>
    <w:rsid w:val="1EAC6A29"/>
    <w:rsid w:val="1EB15448"/>
    <w:rsid w:val="1EB853CE"/>
    <w:rsid w:val="1EBE2E95"/>
    <w:rsid w:val="1EC40AE3"/>
    <w:rsid w:val="1EC77C48"/>
    <w:rsid w:val="1ECA6EAF"/>
    <w:rsid w:val="1ECB0678"/>
    <w:rsid w:val="1ECE074D"/>
    <w:rsid w:val="1EDB7427"/>
    <w:rsid w:val="1EE53CE9"/>
    <w:rsid w:val="1EF328AA"/>
    <w:rsid w:val="1EF5217E"/>
    <w:rsid w:val="1F093C73"/>
    <w:rsid w:val="1F0979D8"/>
    <w:rsid w:val="1F0B126A"/>
    <w:rsid w:val="1F0E1492"/>
    <w:rsid w:val="1F182311"/>
    <w:rsid w:val="1F244811"/>
    <w:rsid w:val="1F5101D2"/>
    <w:rsid w:val="1F5275D0"/>
    <w:rsid w:val="1F61020E"/>
    <w:rsid w:val="1F61247F"/>
    <w:rsid w:val="1F630B68"/>
    <w:rsid w:val="1F66307C"/>
    <w:rsid w:val="1F6D1632"/>
    <w:rsid w:val="1F7237CF"/>
    <w:rsid w:val="1F7A2683"/>
    <w:rsid w:val="1F7B63F7"/>
    <w:rsid w:val="1FAB7BF6"/>
    <w:rsid w:val="1FB41730"/>
    <w:rsid w:val="1FB97650"/>
    <w:rsid w:val="1FC04214"/>
    <w:rsid w:val="1FC17AA7"/>
    <w:rsid w:val="1FDA6A1D"/>
    <w:rsid w:val="1FDC048F"/>
    <w:rsid w:val="1FF00B97"/>
    <w:rsid w:val="1FF05635"/>
    <w:rsid w:val="1FF77938"/>
    <w:rsid w:val="200F07EE"/>
    <w:rsid w:val="201332F6"/>
    <w:rsid w:val="20545157"/>
    <w:rsid w:val="20784E15"/>
    <w:rsid w:val="20801D34"/>
    <w:rsid w:val="208445B0"/>
    <w:rsid w:val="20967991"/>
    <w:rsid w:val="20983EB6"/>
    <w:rsid w:val="209D487B"/>
    <w:rsid w:val="20A316FD"/>
    <w:rsid w:val="20A774A8"/>
    <w:rsid w:val="20AA4E0D"/>
    <w:rsid w:val="20BC17B5"/>
    <w:rsid w:val="20BD07F9"/>
    <w:rsid w:val="20BD316F"/>
    <w:rsid w:val="20BD6CCC"/>
    <w:rsid w:val="20DA53AA"/>
    <w:rsid w:val="20E30D41"/>
    <w:rsid w:val="20E50B62"/>
    <w:rsid w:val="20E97AC1"/>
    <w:rsid w:val="20EB4BEE"/>
    <w:rsid w:val="20F63F8C"/>
    <w:rsid w:val="211C2557"/>
    <w:rsid w:val="211C7E96"/>
    <w:rsid w:val="2123166E"/>
    <w:rsid w:val="212B00D9"/>
    <w:rsid w:val="212E0A02"/>
    <w:rsid w:val="21313AB2"/>
    <w:rsid w:val="21327383"/>
    <w:rsid w:val="213B4094"/>
    <w:rsid w:val="213D3574"/>
    <w:rsid w:val="2144119B"/>
    <w:rsid w:val="21471BB1"/>
    <w:rsid w:val="214F2C2C"/>
    <w:rsid w:val="21513D9B"/>
    <w:rsid w:val="215D5E4B"/>
    <w:rsid w:val="216160A2"/>
    <w:rsid w:val="21667363"/>
    <w:rsid w:val="21674E89"/>
    <w:rsid w:val="21690C01"/>
    <w:rsid w:val="216A22E2"/>
    <w:rsid w:val="216D3574"/>
    <w:rsid w:val="217952E8"/>
    <w:rsid w:val="217E7356"/>
    <w:rsid w:val="2198698A"/>
    <w:rsid w:val="219914E7"/>
    <w:rsid w:val="219A0DBB"/>
    <w:rsid w:val="219F63D1"/>
    <w:rsid w:val="21A861E7"/>
    <w:rsid w:val="21AA36F4"/>
    <w:rsid w:val="21AB121A"/>
    <w:rsid w:val="21AC6856"/>
    <w:rsid w:val="21B827D8"/>
    <w:rsid w:val="21BF6A73"/>
    <w:rsid w:val="21C10A3D"/>
    <w:rsid w:val="21CC7858"/>
    <w:rsid w:val="21CF315A"/>
    <w:rsid w:val="21E519A1"/>
    <w:rsid w:val="21FA5CFD"/>
    <w:rsid w:val="22006329"/>
    <w:rsid w:val="220D7C54"/>
    <w:rsid w:val="22230B37"/>
    <w:rsid w:val="22356D36"/>
    <w:rsid w:val="223951E5"/>
    <w:rsid w:val="223C4F93"/>
    <w:rsid w:val="224F7DF7"/>
    <w:rsid w:val="225418B2"/>
    <w:rsid w:val="22602004"/>
    <w:rsid w:val="227D2BB6"/>
    <w:rsid w:val="22854ACD"/>
    <w:rsid w:val="22903F77"/>
    <w:rsid w:val="229D21D1"/>
    <w:rsid w:val="229D6DB5"/>
    <w:rsid w:val="229F2CE2"/>
    <w:rsid w:val="22AB7CC8"/>
    <w:rsid w:val="22AC5767"/>
    <w:rsid w:val="22C205C9"/>
    <w:rsid w:val="22CC769A"/>
    <w:rsid w:val="22E70E8B"/>
    <w:rsid w:val="22EF5A05"/>
    <w:rsid w:val="230706D2"/>
    <w:rsid w:val="231777E7"/>
    <w:rsid w:val="231D4256"/>
    <w:rsid w:val="23306402"/>
    <w:rsid w:val="23403BE4"/>
    <w:rsid w:val="234A05BF"/>
    <w:rsid w:val="234B4A63"/>
    <w:rsid w:val="235F406A"/>
    <w:rsid w:val="23601CDC"/>
    <w:rsid w:val="23767606"/>
    <w:rsid w:val="237813DD"/>
    <w:rsid w:val="23810484"/>
    <w:rsid w:val="2387194A"/>
    <w:rsid w:val="23983A20"/>
    <w:rsid w:val="23A14683"/>
    <w:rsid w:val="23A63BF2"/>
    <w:rsid w:val="23A92664"/>
    <w:rsid w:val="23AC6E99"/>
    <w:rsid w:val="23AE4FF1"/>
    <w:rsid w:val="23B73EA6"/>
    <w:rsid w:val="23B8005D"/>
    <w:rsid w:val="23BF2D5B"/>
    <w:rsid w:val="23C50158"/>
    <w:rsid w:val="23C6058D"/>
    <w:rsid w:val="23D04F68"/>
    <w:rsid w:val="23D20B13"/>
    <w:rsid w:val="23D22A8E"/>
    <w:rsid w:val="23D30ED7"/>
    <w:rsid w:val="23E00A04"/>
    <w:rsid w:val="23E51285"/>
    <w:rsid w:val="23EA427B"/>
    <w:rsid w:val="2409047A"/>
    <w:rsid w:val="241C77B7"/>
    <w:rsid w:val="242833B8"/>
    <w:rsid w:val="242D23BA"/>
    <w:rsid w:val="24443260"/>
    <w:rsid w:val="24461EBC"/>
    <w:rsid w:val="24480FA2"/>
    <w:rsid w:val="24485229"/>
    <w:rsid w:val="244D0366"/>
    <w:rsid w:val="244D65B8"/>
    <w:rsid w:val="24627E6A"/>
    <w:rsid w:val="2465012A"/>
    <w:rsid w:val="24665CC7"/>
    <w:rsid w:val="246A4F2C"/>
    <w:rsid w:val="246F29D3"/>
    <w:rsid w:val="247202CC"/>
    <w:rsid w:val="247973AD"/>
    <w:rsid w:val="247D4CEA"/>
    <w:rsid w:val="24863878"/>
    <w:rsid w:val="248F4E23"/>
    <w:rsid w:val="24910391"/>
    <w:rsid w:val="249307E0"/>
    <w:rsid w:val="24961D0D"/>
    <w:rsid w:val="24967F5F"/>
    <w:rsid w:val="24A7216D"/>
    <w:rsid w:val="24AA7567"/>
    <w:rsid w:val="24B148C0"/>
    <w:rsid w:val="24B228BF"/>
    <w:rsid w:val="24B53FFA"/>
    <w:rsid w:val="24B729C7"/>
    <w:rsid w:val="24C30629"/>
    <w:rsid w:val="24CA19B7"/>
    <w:rsid w:val="24CF521F"/>
    <w:rsid w:val="24E231A5"/>
    <w:rsid w:val="24EF58C2"/>
    <w:rsid w:val="24F133E8"/>
    <w:rsid w:val="24F44C86"/>
    <w:rsid w:val="25021151"/>
    <w:rsid w:val="25113A8A"/>
    <w:rsid w:val="251249EF"/>
    <w:rsid w:val="25137E1F"/>
    <w:rsid w:val="25164BFC"/>
    <w:rsid w:val="251D7DBF"/>
    <w:rsid w:val="25201F1F"/>
    <w:rsid w:val="252217F3"/>
    <w:rsid w:val="25366216"/>
    <w:rsid w:val="2538738D"/>
    <w:rsid w:val="254A2AF8"/>
    <w:rsid w:val="254B6F49"/>
    <w:rsid w:val="254C0545"/>
    <w:rsid w:val="255B423A"/>
    <w:rsid w:val="255B6AB3"/>
    <w:rsid w:val="255E7323"/>
    <w:rsid w:val="256157BB"/>
    <w:rsid w:val="256242E5"/>
    <w:rsid w:val="25666179"/>
    <w:rsid w:val="256D74C3"/>
    <w:rsid w:val="256F255E"/>
    <w:rsid w:val="257552AB"/>
    <w:rsid w:val="25765E4A"/>
    <w:rsid w:val="257A162F"/>
    <w:rsid w:val="257B7155"/>
    <w:rsid w:val="25861D82"/>
    <w:rsid w:val="259A18FD"/>
    <w:rsid w:val="25AD78E2"/>
    <w:rsid w:val="25B14A61"/>
    <w:rsid w:val="25B20DC9"/>
    <w:rsid w:val="25B53CA1"/>
    <w:rsid w:val="25B54415"/>
    <w:rsid w:val="25CB1E8B"/>
    <w:rsid w:val="25CC0D73"/>
    <w:rsid w:val="25CC1CE4"/>
    <w:rsid w:val="25D674DB"/>
    <w:rsid w:val="25DD7C73"/>
    <w:rsid w:val="25E66CC5"/>
    <w:rsid w:val="25EE39B7"/>
    <w:rsid w:val="25F60311"/>
    <w:rsid w:val="25FF7D86"/>
    <w:rsid w:val="261455E0"/>
    <w:rsid w:val="26197955"/>
    <w:rsid w:val="261D1FBA"/>
    <w:rsid w:val="262D1D64"/>
    <w:rsid w:val="26307F40"/>
    <w:rsid w:val="263C4B36"/>
    <w:rsid w:val="26492DAF"/>
    <w:rsid w:val="26526108"/>
    <w:rsid w:val="265C232B"/>
    <w:rsid w:val="265E627C"/>
    <w:rsid w:val="266C48C5"/>
    <w:rsid w:val="266F0A68"/>
    <w:rsid w:val="2674607E"/>
    <w:rsid w:val="267956A2"/>
    <w:rsid w:val="267A11BB"/>
    <w:rsid w:val="267E110E"/>
    <w:rsid w:val="268816D1"/>
    <w:rsid w:val="268A02B6"/>
    <w:rsid w:val="26912667"/>
    <w:rsid w:val="26914E82"/>
    <w:rsid w:val="2693090A"/>
    <w:rsid w:val="26977FBF"/>
    <w:rsid w:val="26993D37"/>
    <w:rsid w:val="269E759F"/>
    <w:rsid w:val="26A963E6"/>
    <w:rsid w:val="26AB5818"/>
    <w:rsid w:val="26AF355A"/>
    <w:rsid w:val="26B25CCB"/>
    <w:rsid w:val="26BD5C77"/>
    <w:rsid w:val="26C16DEA"/>
    <w:rsid w:val="26C37006"/>
    <w:rsid w:val="26D134D1"/>
    <w:rsid w:val="26D53575"/>
    <w:rsid w:val="26D92385"/>
    <w:rsid w:val="26E8081A"/>
    <w:rsid w:val="26EB49CE"/>
    <w:rsid w:val="26EF7DFB"/>
    <w:rsid w:val="26FD4030"/>
    <w:rsid w:val="26FE3B9A"/>
    <w:rsid w:val="270E7E69"/>
    <w:rsid w:val="270F7B55"/>
    <w:rsid w:val="27117D71"/>
    <w:rsid w:val="272407B8"/>
    <w:rsid w:val="27276A9D"/>
    <w:rsid w:val="272950BB"/>
    <w:rsid w:val="272F1FA5"/>
    <w:rsid w:val="273B4DEE"/>
    <w:rsid w:val="275B2C28"/>
    <w:rsid w:val="275D4D64"/>
    <w:rsid w:val="27747727"/>
    <w:rsid w:val="27790766"/>
    <w:rsid w:val="277A3B68"/>
    <w:rsid w:val="277A5916"/>
    <w:rsid w:val="277D5407"/>
    <w:rsid w:val="278D7BF4"/>
    <w:rsid w:val="27906EE8"/>
    <w:rsid w:val="27982240"/>
    <w:rsid w:val="279A1B15"/>
    <w:rsid w:val="279B763B"/>
    <w:rsid w:val="27BA3F65"/>
    <w:rsid w:val="27C74D73"/>
    <w:rsid w:val="27CE5C62"/>
    <w:rsid w:val="27DA63B5"/>
    <w:rsid w:val="27EB05C2"/>
    <w:rsid w:val="27EC4C30"/>
    <w:rsid w:val="27EC60E8"/>
    <w:rsid w:val="27FA0FF5"/>
    <w:rsid w:val="28096C9A"/>
    <w:rsid w:val="280A30C3"/>
    <w:rsid w:val="28101DD7"/>
    <w:rsid w:val="28133DFD"/>
    <w:rsid w:val="281573ED"/>
    <w:rsid w:val="28173165"/>
    <w:rsid w:val="28174A50"/>
    <w:rsid w:val="282835C4"/>
    <w:rsid w:val="28546167"/>
    <w:rsid w:val="28551EE0"/>
    <w:rsid w:val="2855579C"/>
    <w:rsid w:val="285D489A"/>
    <w:rsid w:val="286B34B1"/>
    <w:rsid w:val="287844DA"/>
    <w:rsid w:val="28793E20"/>
    <w:rsid w:val="287C746C"/>
    <w:rsid w:val="287E581D"/>
    <w:rsid w:val="28892427"/>
    <w:rsid w:val="28A16ED3"/>
    <w:rsid w:val="28AC3883"/>
    <w:rsid w:val="28AF4EEF"/>
    <w:rsid w:val="28DC5EA4"/>
    <w:rsid w:val="28E33CA5"/>
    <w:rsid w:val="29003BF9"/>
    <w:rsid w:val="290C07F0"/>
    <w:rsid w:val="290F56E6"/>
    <w:rsid w:val="2911701D"/>
    <w:rsid w:val="29120B1F"/>
    <w:rsid w:val="291E6775"/>
    <w:rsid w:val="29254783"/>
    <w:rsid w:val="292A0104"/>
    <w:rsid w:val="293E0BC6"/>
    <w:rsid w:val="294055D4"/>
    <w:rsid w:val="29455AB0"/>
    <w:rsid w:val="294E4BC1"/>
    <w:rsid w:val="295201CD"/>
    <w:rsid w:val="29541C93"/>
    <w:rsid w:val="296118F6"/>
    <w:rsid w:val="29693E53"/>
    <w:rsid w:val="29710F84"/>
    <w:rsid w:val="2973086F"/>
    <w:rsid w:val="297939AC"/>
    <w:rsid w:val="297D19A3"/>
    <w:rsid w:val="298A3E0B"/>
    <w:rsid w:val="29930F11"/>
    <w:rsid w:val="299D4150"/>
    <w:rsid w:val="29A3223A"/>
    <w:rsid w:val="29A70519"/>
    <w:rsid w:val="29C15A7E"/>
    <w:rsid w:val="29E37561"/>
    <w:rsid w:val="29E74C4B"/>
    <w:rsid w:val="29E74DB9"/>
    <w:rsid w:val="29F82489"/>
    <w:rsid w:val="2A043B8F"/>
    <w:rsid w:val="2A0C4FAD"/>
    <w:rsid w:val="2A1B0BED"/>
    <w:rsid w:val="2A24211D"/>
    <w:rsid w:val="2A28561B"/>
    <w:rsid w:val="2A3200B0"/>
    <w:rsid w:val="2A3F714F"/>
    <w:rsid w:val="2A44220C"/>
    <w:rsid w:val="2A4B4255"/>
    <w:rsid w:val="2A4C2E6E"/>
    <w:rsid w:val="2A5650D2"/>
    <w:rsid w:val="2A5B4410"/>
    <w:rsid w:val="2A7152F9"/>
    <w:rsid w:val="2A8637BE"/>
    <w:rsid w:val="2A952887"/>
    <w:rsid w:val="2A967118"/>
    <w:rsid w:val="2AA36F32"/>
    <w:rsid w:val="2AAB4F58"/>
    <w:rsid w:val="2AAF52BB"/>
    <w:rsid w:val="2AB24D45"/>
    <w:rsid w:val="2AB43A79"/>
    <w:rsid w:val="2ABE5B1A"/>
    <w:rsid w:val="2AC423E7"/>
    <w:rsid w:val="2AC507FE"/>
    <w:rsid w:val="2ACB7458"/>
    <w:rsid w:val="2ACD11E5"/>
    <w:rsid w:val="2AD92954"/>
    <w:rsid w:val="2AD96DF8"/>
    <w:rsid w:val="2AE07D8A"/>
    <w:rsid w:val="2AE553C9"/>
    <w:rsid w:val="2AFB7F28"/>
    <w:rsid w:val="2B002DA1"/>
    <w:rsid w:val="2B035C23"/>
    <w:rsid w:val="2B051171"/>
    <w:rsid w:val="2B0674C1"/>
    <w:rsid w:val="2B0D4CF3"/>
    <w:rsid w:val="2B0D6AA1"/>
    <w:rsid w:val="2B195446"/>
    <w:rsid w:val="2B204A27"/>
    <w:rsid w:val="2B247407"/>
    <w:rsid w:val="2B484D6E"/>
    <w:rsid w:val="2B4F70BA"/>
    <w:rsid w:val="2B531DA4"/>
    <w:rsid w:val="2B5B5CCE"/>
    <w:rsid w:val="2B5D3585"/>
    <w:rsid w:val="2B626DED"/>
    <w:rsid w:val="2B710CB1"/>
    <w:rsid w:val="2B74267D"/>
    <w:rsid w:val="2B8505B7"/>
    <w:rsid w:val="2B97636B"/>
    <w:rsid w:val="2B996587"/>
    <w:rsid w:val="2BA63E40"/>
    <w:rsid w:val="2BCC4267"/>
    <w:rsid w:val="2BDE6E44"/>
    <w:rsid w:val="2BFA7026"/>
    <w:rsid w:val="2BFF6CD6"/>
    <w:rsid w:val="2C034480"/>
    <w:rsid w:val="2C0F23A5"/>
    <w:rsid w:val="2C22432A"/>
    <w:rsid w:val="2C2A54CD"/>
    <w:rsid w:val="2C2C2F57"/>
    <w:rsid w:val="2C2D57F1"/>
    <w:rsid w:val="2C3047F6"/>
    <w:rsid w:val="2C31056E"/>
    <w:rsid w:val="2C3A1B18"/>
    <w:rsid w:val="2C432E7E"/>
    <w:rsid w:val="2C484235"/>
    <w:rsid w:val="2C5030EA"/>
    <w:rsid w:val="2C532F64"/>
    <w:rsid w:val="2C5D5807"/>
    <w:rsid w:val="2C6170A5"/>
    <w:rsid w:val="2C62070F"/>
    <w:rsid w:val="2C6B5B19"/>
    <w:rsid w:val="2C7843EE"/>
    <w:rsid w:val="2C7A3CC3"/>
    <w:rsid w:val="2C8132A3"/>
    <w:rsid w:val="2C8E776E"/>
    <w:rsid w:val="2C992300"/>
    <w:rsid w:val="2C9F64B3"/>
    <w:rsid w:val="2C9F7BCD"/>
    <w:rsid w:val="2CA054A4"/>
    <w:rsid w:val="2CAE7D6D"/>
    <w:rsid w:val="2CB2481F"/>
    <w:rsid w:val="2CB73169"/>
    <w:rsid w:val="2CB74F17"/>
    <w:rsid w:val="2CC13436"/>
    <w:rsid w:val="2CC15AA5"/>
    <w:rsid w:val="2CD27787"/>
    <w:rsid w:val="2CD930DF"/>
    <w:rsid w:val="2CDE24A4"/>
    <w:rsid w:val="2CE5579C"/>
    <w:rsid w:val="2CEE4C77"/>
    <w:rsid w:val="2CF241A1"/>
    <w:rsid w:val="2CFE48F4"/>
    <w:rsid w:val="2D030DB2"/>
    <w:rsid w:val="2D0363AE"/>
    <w:rsid w:val="2D0465C5"/>
    <w:rsid w:val="2D144117"/>
    <w:rsid w:val="2D2F71A3"/>
    <w:rsid w:val="2D300825"/>
    <w:rsid w:val="2D3E1194"/>
    <w:rsid w:val="2D3E2F42"/>
    <w:rsid w:val="2D510185"/>
    <w:rsid w:val="2D6C5D01"/>
    <w:rsid w:val="2D720433"/>
    <w:rsid w:val="2D850EF5"/>
    <w:rsid w:val="2D8F448C"/>
    <w:rsid w:val="2D9603C8"/>
    <w:rsid w:val="2D983B71"/>
    <w:rsid w:val="2DA52353"/>
    <w:rsid w:val="2DA671B5"/>
    <w:rsid w:val="2DC54131"/>
    <w:rsid w:val="2DC773DC"/>
    <w:rsid w:val="2DC823EE"/>
    <w:rsid w:val="2DC84F02"/>
    <w:rsid w:val="2DCF003E"/>
    <w:rsid w:val="2DDF07B2"/>
    <w:rsid w:val="2DEF3316"/>
    <w:rsid w:val="2DF7019E"/>
    <w:rsid w:val="2E1D6FFC"/>
    <w:rsid w:val="2E277E7A"/>
    <w:rsid w:val="2E312AA7"/>
    <w:rsid w:val="2E402CEA"/>
    <w:rsid w:val="2E474078"/>
    <w:rsid w:val="2E482E0D"/>
    <w:rsid w:val="2E4C168F"/>
    <w:rsid w:val="2E752E29"/>
    <w:rsid w:val="2E8E0D03"/>
    <w:rsid w:val="2EAA356F"/>
    <w:rsid w:val="2EB4445A"/>
    <w:rsid w:val="2EC67693"/>
    <w:rsid w:val="2EC73739"/>
    <w:rsid w:val="2EDA4EED"/>
    <w:rsid w:val="2EE144CD"/>
    <w:rsid w:val="2EE32B90"/>
    <w:rsid w:val="2EE363F4"/>
    <w:rsid w:val="2EE43FBD"/>
    <w:rsid w:val="2EE572FA"/>
    <w:rsid w:val="2F0B4192"/>
    <w:rsid w:val="2F0E4B96"/>
    <w:rsid w:val="2F1A3987"/>
    <w:rsid w:val="2F290682"/>
    <w:rsid w:val="2F360741"/>
    <w:rsid w:val="2F3B3145"/>
    <w:rsid w:val="2F4C0A41"/>
    <w:rsid w:val="2F594063"/>
    <w:rsid w:val="2F5C5965"/>
    <w:rsid w:val="2F693686"/>
    <w:rsid w:val="2F6F18B7"/>
    <w:rsid w:val="2F725159"/>
    <w:rsid w:val="2F776BDF"/>
    <w:rsid w:val="2F882B9B"/>
    <w:rsid w:val="2F917C4D"/>
    <w:rsid w:val="2F9522B8"/>
    <w:rsid w:val="2FA05E00"/>
    <w:rsid w:val="2FAA3464"/>
    <w:rsid w:val="2FAF45CB"/>
    <w:rsid w:val="2FB85452"/>
    <w:rsid w:val="2FC82F97"/>
    <w:rsid w:val="2FD72DD7"/>
    <w:rsid w:val="2FE81C29"/>
    <w:rsid w:val="2FEA3031"/>
    <w:rsid w:val="2FEC073B"/>
    <w:rsid w:val="2FF06E00"/>
    <w:rsid w:val="2FF15555"/>
    <w:rsid w:val="2FFA5F04"/>
    <w:rsid w:val="30005D35"/>
    <w:rsid w:val="3001156F"/>
    <w:rsid w:val="301548AA"/>
    <w:rsid w:val="30182170"/>
    <w:rsid w:val="30272FAB"/>
    <w:rsid w:val="3037697C"/>
    <w:rsid w:val="303F698B"/>
    <w:rsid w:val="304271ED"/>
    <w:rsid w:val="30456829"/>
    <w:rsid w:val="305B3A07"/>
    <w:rsid w:val="305B5A3B"/>
    <w:rsid w:val="305C25B0"/>
    <w:rsid w:val="305F38FB"/>
    <w:rsid w:val="307626C3"/>
    <w:rsid w:val="30A9718F"/>
    <w:rsid w:val="30B71989"/>
    <w:rsid w:val="30BD4AC6"/>
    <w:rsid w:val="30CF7C55"/>
    <w:rsid w:val="30D2549E"/>
    <w:rsid w:val="30D86509"/>
    <w:rsid w:val="30DA669A"/>
    <w:rsid w:val="30DC319E"/>
    <w:rsid w:val="30E166AF"/>
    <w:rsid w:val="30E82727"/>
    <w:rsid w:val="30FD4A09"/>
    <w:rsid w:val="30FE1366"/>
    <w:rsid w:val="31101099"/>
    <w:rsid w:val="31206915"/>
    <w:rsid w:val="312964BB"/>
    <w:rsid w:val="313174F1"/>
    <w:rsid w:val="313E5C07"/>
    <w:rsid w:val="31464C07"/>
    <w:rsid w:val="31470958"/>
    <w:rsid w:val="31562849"/>
    <w:rsid w:val="315D4BE3"/>
    <w:rsid w:val="317A6513"/>
    <w:rsid w:val="317E6003"/>
    <w:rsid w:val="318037B0"/>
    <w:rsid w:val="319175CA"/>
    <w:rsid w:val="31AD03B5"/>
    <w:rsid w:val="31B77767"/>
    <w:rsid w:val="31BE0388"/>
    <w:rsid w:val="31CC2E8C"/>
    <w:rsid w:val="31CC3212"/>
    <w:rsid w:val="31CC47E8"/>
    <w:rsid w:val="31CE2F09"/>
    <w:rsid w:val="31D37B5D"/>
    <w:rsid w:val="31D473D9"/>
    <w:rsid w:val="31D9592F"/>
    <w:rsid w:val="31F34429"/>
    <w:rsid w:val="31F97D80"/>
    <w:rsid w:val="321921D0"/>
    <w:rsid w:val="32281CD6"/>
    <w:rsid w:val="323A4620"/>
    <w:rsid w:val="32530126"/>
    <w:rsid w:val="326121D2"/>
    <w:rsid w:val="327B69E7"/>
    <w:rsid w:val="327F1985"/>
    <w:rsid w:val="32845DCB"/>
    <w:rsid w:val="32941177"/>
    <w:rsid w:val="32A01FA9"/>
    <w:rsid w:val="32A21DDC"/>
    <w:rsid w:val="32A24DBD"/>
    <w:rsid w:val="32AC3044"/>
    <w:rsid w:val="32B10916"/>
    <w:rsid w:val="32B7169C"/>
    <w:rsid w:val="32BA12BD"/>
    <w:rsid w:val="32BA1E25"/>
    <w:rsid w:val="32C4038E"/>
    <w:rsid w:val="32C71C2C"/>
    <w:rsid w:val="32C828E4"/>
    <w:rsid w:val="32CE4D68"/>
    <w:rsid w:val="32D87949"/>
    <w:rsid w:val="32E83DD4"/>
    <w:rsid w:val="32EA40D1"/>
    <w:rsid w:val="32EC51EE"/>
    <w:rsid w:val="32F81DE5"/>
    <w:rsid w:val="32FE11A1"/>
    <w:rsid w:val="32FF13C6"/>
    <w:rsid w:val="32FF2EEF"/>
    <w:rsid w:val="32FF7413"/>
    <w:rsid w:val="33103914"/>
    <w:rsid w:val="33106ECD"/>
    <w:rsid w:val="33114C55"/>
    <w:rsid w:val="33185FE3"/>
    <w:rsid w:val="331B0D7F"/>
    <w:rsid w:val="33266952"/>
    <w:rsid w:val="332E5BDE"/>
    <w:rsid w:val="333077D1"/>
    <w:rsid w:val="33463E49"/>
    <w:rsid w:val="33525999"/>
    <w:rsid w:val="33612616"/>
    <w:rsid w:val="33751688"/>
    <w:rsid w:val="33770F5C"/>
    <w:rsid w:val="337A0A4C"/>
    <w:rsid w:val="338416FC"/>
    <w:rsid w:val="338F5C32"/>
    <w:rsid w:val="339A3602"/>
    <w:rsid w:val="33A1247D"/>
    <w:rsid w:val="33B0446E"/>
    <w:rsid w:val="33B34145"/>
    <w:rsid w:val="33CB102B"/>
    <w:rsid w:val="33CC7284"/>
    <w:rsid w:val="33D12D62"/>
    <w:rsid w:val="33E22E17"/>
    <w:rsid w:val="33EF4F96"/>
    <w:rsid w:val="33F23E05"/>
    <w:rsid w:val="34180991"/>
    <w:rsid w:val="34205B4A"/>
    <w:rsid w:val="342357B5"/>
    <w:rsid w:val="342B252D"/>
    <w:rsid w:val="3432054C"/>
    <w:rsid w:val="34355450"/>
    <w:rsid w:val="34410A44"/>
    <w:rsid w:val="34452E08"/>
    <w:rsid w:val="34480F30"/>
    <w:rsid w:val="34554330"/>
    <w:rsid w:val="346027FB"/>
    <w:rsid w:val="34621C0C"/>
    <w:rsid w:val="34624BDB"/>
    <w:rsid w:val="346F60D7"/>
    <w:rsid w:val="34736162"/>
    <w:rsid w:val="34963664"/>
    <w:rsid w:val="349873DC"/>
    <w:rsid w:val="34B022F1"/>
    <w:rsid w:val="34B07F64"/>
    <w:rsid w:val="34B54432"/>
    <w:rsid w:val="34B8751A"/>
    <w:rsid w:val="34BA06FF"/>
    <w:rsid w:val="34BD32E6"/>
    <w:rsid w:val="34BF39F8"/>
    <w:rsid w:val="34C06C13"/>
    <w:rsid w:val="34C77CC1"/>
    <w:rsid w:val="34D61C7F"/>
    <w:rsid w:val="34E268A9"/>
    <w:rsid w:val="34E95E89"/>
    <w:rsid w:val="34F02826"/>
    <w:rsid w:val="34F33E8A"/>
    <w:rsid w:val="34FE3986"/>
    <w:rsid w:val="351321AD"/>
    <w:rsid w:val="35174A50"/>
    <w:rsid w:val="351C7DEB"/>
    <w:rsid w:val="352F7D39"/>
    <w:rsid w:val="353013E5"/>
    <w:rsid w:val="35365D12"/>
    <w:rsid w:val="353A66E5"/>
    <w:rsid w:val="35411821"/>
    <w:rsid w:val="35414ECC"/>
    <w:rsid w:val="35452190"/>
    <w:rsid w:val="354B48C1"/>
    <w:rsid w:val="355E6877"/>
    <w:rsid w:val="35613247"/>
    <w:rsid w:val="356B04C0"/>
    <w:rsid w:val="35702107"/>
    <w:rsid w:val="35704336"/>
    <w:rsid w:val="358769DF"/>
    <w:rsid w:val="35B46497"/>
    <w:rsid w:val="35C44201"/>
    <w:rsid w:val="35D40168"/>
    <w:rsid w:val="35D95711"/>
    <w:rsid w:val="35E041D2"/>
    <w:rsid w:val="35E6061B"/>
    <w:rsid w:val="35EB43BC"/>
    <w:rsid w:val="36091121"/>
    <w:rsid w:val="361B3B70"/>
    <w:rsid w:val="3623361D"/>
    <w:rsid w:val="3630143D"/>
    <w:rsid w:val="36335D8B"/>
    <w:rsid w:val="36407D2B"/>
    <w:rsid w:val="365723A0"/>
    <w:rsid w:val="365B582E"/>
    <w:rsid w:val="365E6403"/>
    <w:rsid w:val="36653C36"/>
    <w:rsid w:val="36714388"/>
    <w:rsid w:val="367E6AA5"/>
    <w:rsid w:val="3685055C"/>
    <w:rsid w:val="36954C07"/>
    <w:rsid w:val="369D1FDF"/>
    <w:rsid w:val="36AB4A13"/>
    <w:rsid w:val="36AC716F"/>
    <w:rsid w:val="36B05447"/>
    <w:rsid w:val="36B23F70"/>
    <w:rsid w:val="36CB6E86"/>
    <w:rsid w:val="36E07CFC"/>
    <w:rsid w:val="36EC1C61"/>
    <w:rsid w:val="36F71B85"/>
    <w:rsid w:val="370C5E5F"/>
    <w:rsid w:val="371B60A2"/>
    <w:rsid w:val="3720190B"/>
    <w:rsid w:val="37215DF1"/>
    <w:rsid w:val="37405933"/>
    <w:rsid w:val="37607F59"/>
    <w:rsid w:val="37677539"/>
    <w:rsid w:val="377D3CD2"/>
    <w:rsid w:val="3786787E"/>
    <w:rsid w:val="37906A90"/>
    <w:rsid w:val="37940011"/>
    <w:rsid w:val="37A46016"/>
    <w:rsid w:val="37A54704"/>
    <w:rsid w:val="37AD190A"/>
    <w:rsid w:val="37B74B30"/>
    <w:rsid w:val="37B805E5"/>
    <w:rsid w:val="37C31F61"/>
    <w:rsid w:val="37D3129E"/>
    <w:rsid w:val="37EA66E1"/>
    <w:rsid w:val="37EB3CC7"/>
    <w:rsid w:val="37ED3EE3"/>
    <w:rsid w:val="37FC5ED4"/>
    <w:rsid w:val="381274A5"/>
    <w:rsid w:val="381B27FE"/>
    <w:rsid w:val="382471D8"/>
    <w:rsid w:val="38267BEF"/>
    <w:rsid w:val="383C202D"/>
    <w:rsid w:val="38417D8A"/>
    <w:rsid w:val="38613F89"/>
    <w:rsid w:val="387B2E13"/>
    <w:rsid w:val="38855EC9"/>
    <w:rsid w:val="38861957"/>
    <w:rsid w:val="38894449"/>
    <w:rsid w:val="3891486E"/>
    <w:rsid w:val="38946FDB"/>
    <w:rsid w:val="389C7FFD"/>
    <w:rsid w:val="389E0383"/>
    <w:rsid w:val="389E0937"/>
    <w:rsid w:val="38AC5B4C"/>
    <w:rsid w:val="38B617AE"/>
    <w:rsid w:val="38B74B11"/>
    <w:rsid w:val="38BF54F1"/>
    <w:rsid w:val="38C8225A"/>
    <w:rsid w:val="38C90369"/>
    <w:rsid w:val="38E075A3"/>
    <w:rsid w:val="38E815C4"/>
    <w:rsid w:val="38EA6674"/>
    <w:rsid w:val="38F23E71"/>
    <w:rsid w:val="38F65019"/>
    <w:rsid w:val="38F8669B"/>
    <w:rsid w:val="38FD45E7"/>
    <w:rsid w:val="38FD7E3B"/>
    <w:rsid w:val="390534AF"/>
    <w:rsid w:val="390A2872"/>
    <w:rsid w:val="390A586B"/>
    <w:rsid w:val="390B0AC4"/>
    <w:rsid w:val="392456E2"/>
    <w:rsid w:val="393765F5"/>
    <w:rsid w:val="39423DBA"/>
    <w:rsid w:val="39461AFC"/>
    <w:rsid w:val="394C4C39"/>
    <w:rsid w:val="395B4E7C"/>
    <w:rsid w:val="39602492"/>
    <w:rsid w:val="39657AA9"/>
    <w:rsid w:val="39720FD2"/>
    <w:rsid w:val="39846181"/>
    <w:rsid w:val="398776F7"/>
    <w:rsid w:val="398919E9"/>
    <w:rsid w:val="39965EB4"/>
    <w:rsid w:val="399C796E"/>
    <w:rsid w:val="399F120C"/>
    <w:rsid w:val="39B6349F"/>
    <w:rsid w:val="39C11183"/>
    <w:rsid w:val="39D776C2"/>
    <w:rsid w:val="39D851B6"/>
    <w:rsid w:val="39E5035C"/>
    <w:rsid w:val="39E906DA"/>
    <w:rsid w:val="3A185F3A"/>
    <w:rsid w:val="3A287454"/>
    <w:rsid w:val="3A296D28"/>
    <w:rsid w:val="3A355331"/>
    <w:rsid w:val="3A3758E9"/>
    <w:rsid w:val="3A377697"/>
    <w:rsid w:val="3A423C08"/>
    <w:rsid w:val="3A4A73CA"/>
    <w:rsid w:val="3A5B15D7"/>
    <w:rsid w:val="3A733856"/>
    <w:rsid w:val="3A7C039E"/>
    <w:rsid w:val="3A7E4C29"/>
    <w:rsid w:val="3A944AE9"/>
    <w:rsid w:val="3A960861"/>
    <w:rsid w:val="3AA06FEA"/>
    <w:rsid w:val="3AA91015"/>
    <w:rsid w:val="3AAD7EBC"/>
    <w:rsid w:val="3AB42D1C"/>
    <w:rsid w:val="3ABE0D08"/>
    <w:rsid w:val="3AD82FF0"/>
    <w:rsid w:val="3ADB0022"/>
    <w:rsid w:val="3AE72E6B"/>
    <w:rsid w:val="3AE74C19"/>
    <w:rsid w:val="3AE972CB"/>
    <w:rsid w:val="3AEF610A"/>
    <w:rsid w:val="3AF15232"/>
    <w:rsid w:val="3AF46C72"/>
    <w:rsid w:val="3AF64E5C"/>
    <w:rsid w:val="3B081118"/>
    <w:rsid w:val="3B082DE1"/>
    <w:rsid w:val="3B0B1B9A"/>
    <w:rsid w:val="3B247C1B"/>
    <w:rsid w:val="3B2F036E"/>
    <w:rsid w:val="3B3A743F"/>
    <w:rsid w:val="3B4101AF"/>
    <w:rsid w:val="3B5878C5"/>
    <w:rsid w:val="3B6F41FC"/>
    <w:rsid w:val="3B702E61"/>
    <w:rsid w:val="3B806E1C"/>
    <w:rsid w:val="3B862684"/>
    <w:rsid w:val="3B9526C5"/>
    <w:rsid w:val="3BB4366D"/>
    <w:rsid w:val="3BBC1AEB"/>
    <w:rsid w:val="3BCB0097"/>
    <w:rsid w:val="3BCD3EFF"/>
    <w:rsid w:val="3BD12F39"/>
    <w:rsid w:val="3BD85999"/>
    <w:rsid w:val="3BDD426E"/>
    <w:rsid w:val="3BE455FD"/>
    <w:rsid w:val="3BE473AB"/>
    <w:rsid w:val="3BE850ED"/>
    <w:rsid w:val="3BEC3C50"/>
    <w:rsid w:val="3BFA0653"/>
    <w:rsid w:val="3BFB108D"/>
    <w:rsid w:val="3C3E4D0D"/>
    <w:rsid w:val="3C400D78"/>
    <w:rsid w:val="3C406CD7"/>
    <w:rsid w:val="3C460065"/>
    <w:rsid w:val="3C574020"/>
    <w:rsid w:val="3C667CF3"/>
    <w:rsid w:val="3C685AAF"/>
    <w:rsid w:val="3C766876"/>
    <w:rsid w:val="3C9A2914"/>
    <w:rsid w:val="3CB054DF"/>
    <w:rsid w:val="3CB2084F"/>
    <w:rsid w:val="3CBB45AF"/>
    <w:rsid w:val="3CBF16BC"/>
    <w:rsid w:val="3CC01BC6"/>
    <w:rsid w:val="3CC676B9"/>
    <w:rsid w:val="3CD016DD"/>
    <w:rsid w:val="3CD21C22"/>
    <w:rsid w:val="3CEC022F"/>
    <w:rsid w:val="3CF950D8"/>
    <w:rsid w:val="3CFA5193"/>
    <w:rsid w:val="3D0221DE"/>
    <w:rsid w:val="3D09356D"/>
    <w:rsid w:val="3D0E0B83"/>
    <w:rsid w:val="3D107FF9"/>
    <w:rsid w:val="3D167A38"/>
    <w:rsid w:val="3D18442D"/>
    <w:rsid w:val="3D231DE6"/>
    <w:rsid w:val="3D350701"/>
    <w:rsid w:val="3D356C89"/>
    <w:rsid w:val="3D3E0D3C"/>
    <w:rsid w:val="3D421E06"/>
    <w:rsid w:val="3D4A5933"/>
    <w:rsid w:val="3D4C3459"/>
    <w:rsid w:val="3D4F55C6"/>
    <w:rsid w:val="3D632551"/>
    <w:rsid w:val="3D7021B3"/>
    <w:rsid w:val="3D81441A"/>
    <w:rsid w:val="3D853CB6"/>
    <w:rsid w:val="3D8B1C00"/>
    <w:rsid w:val="3D8E75CE"/>
    <w:rsid w:val="3D96001F"/>
    <w:rsid w:val="3D980285"/>
    <w:rsid w:val="3DA23079"/>
    <w:rsid w:val="3DA45043"/>
    <w:rsid w:val="3DA60DBB"/>
    <w:rsid w:val="3DA70690"/>
    <w:rsid w:val="3DB50FFF"/>
    <w:rsid w:val="3DBA6615"/>
    <w:rsid w:val="3DC359A7"/>
    <w:rsid w:val="3DD31485"/>
    <w:rsid w:val="3DD516A1"/>
    <w:rsid w:val="3DD97A46"/>
    <w:rsid w:val="3DDD58FE"/>
    <w:rsid w:val="3DDF42CD"/>
    <w:rsid w:val="3DE10046"/>
    <w:rsid w:val="3DF00B18"/>
    <w:rsid w:val="3DFB09DB"/>
    <w:rsid w:val="3DFF227A"/>
    <w:rsid w:val="3E1535F9"/>
    <w:rsid w:val="3E246184"/>
    <w:rsid w:val="3E35213F"/>
    <w:rsid w:val="3E3A575D"/>
    <w:rsid w:val="3E412892"/>
    <w:rsid w:val="3E4F541F"/>
    <w:rsid w:val="3E574F0E"/>
    <w:rsid w:val="3E584682"/>
    <w:rsid w:val="3E5D51F2"/>
    <w:rsid w:val="3E677D82"/>
    <w:rsid w:val="3E772758"/>
    <w:rsid w:val="3E773871"/>
    <w:rsid w:val="3E7E5894"/>
    <w:rsid w:val="3E832EA1"/>
    <w:rsid w:val="3E834E1F"/>
    <w:rsid w:val="3E855818"/>
    <w:rsid w:val="3E9A05A9"/>
    <w:rsid w:val="3EA06DF9"/>
    <w:rsid w:val="3EA11583"/>
    <w:rsid w:val="3EA97547"/>
    <w:rsid w:val="3EBE3EE3"/>
    <w:rsid w:val="3ED34D1C"/>
    <w:rsid w:val="3EE14075"/>
    <w:rsid w:val="3EF06066"/>
    <w:rsid w:val="3EF913BF"/>
    <w:rsid w:val="3F0D6C18"/>
    <w:rsid w:val="3F163D1F"/>
    <w:rsid w:val="3F2726D2"/>
    <w:rsid w:val="3F285800"/>
    <w:rsid w:val="3F2A5A1C"/>
    <w:rsid w:val="3F385ADF"/>
    <w:rsid w:val="3F4E4D6C"/>
    <w:rsid w:val="3F5E1222"/>
    <w:rsid w:val="3F5E2817"/>
    <w:rsid w:val="3F6D48DD"/>
    <w:rsid w:val="3F794BC9"/>
    <w:rsid w:val="3F870779"/>
    <w:rsid w:val="3F8F3E58"/>
    <w:rsid w:val="3FC92B3F"/>
    <w:rsid w:val="3FC943F2"/>
    <w:rsid w:val="3FC96FE3"/>
    <w:rsid w:val="3FCA24DC"/>
    <w:rsid w:val="3FCF05DD"/>
    <w:rsid w:val="3FCF3ECE"/>
    <w:rsid w:val="3FD12086"/>
    <w:rsid w:val="3FD83970"/>
    <w:rsid w:val="3FF6176B"/>
    <w:rsid w:val="40162472"/>
    <w:rsid w:val="401E54D8"/>
    <w:rsid w:val="401F6C03"/>
    <w:rsid w:val="4021297B"/>
    <w:rsid w:val="40271F5C"/>
    <w:rsid w:val="40291830"/>
    <w:rsid w:val="403C5923"/>
    <w:rsid w:val="404D2638"/>
    <w:rsid w:val="405857FB"/>
    <w:rsid w:val="40587EAB"/>
    <w:rsid w:val="406E1939"/>
    <w:rsid w:val="407F5BDC"/>
    <w:rsid w:val="408829FA"/>
    <w:rsid w:val="408B37CF"/>
    <w:rsid w:val="40972C3D"/>
    <w:rsid w:val="409A0CC3"/>
    <w:rsid w:val="40A73D18"/>
    <w:rsid w:val="40A92971"/>
    <w:rsid w:val="40B02584"/>
    <w:rsid w:val="40B26274"/>
    <w:rsid w:val="40B6587A"/>
    <w:rsid w:val="40B82BB4"/>
    <w:rsid w:val="40B934D5"/>
    <w:rsid w:val="40BC26A4"/>
    <w:rsid w:val="40BF6E39"/>
    <w:rsid w:val="40CD665F"/>
    <w:rsid w:val="40D75730"/>
    <w:rsid w:val="40DC68A2"/>
    <w:rsid w:val="40E94F08"/>
    <w:rsid w:val="40ED6D01"/>
    <w:rsid w:val="40F15841"/>
    <w:rsid w:val="40F57964"/>
    <w:rsid w:val="41051C24"/>
    <w:rsid w:val="41092AE7"/>
    <w:rsid w:val="410A2C27"/>
    <w:rsid w:val="410C5900"/>
    <w:rsid w:val="41100EA9"/>
    <w:rsid w:val="411058AE"/>
    <w:rsid w:val="411E11E1"/>
    <w:rsid w:val="412606A3"/>
    <w:rsid w:val="412869BC"/>
    <w:rsid w:val="413F246A"/>
    <w:rsid w:val="4140374B"/>
    <w:rsid w:val="41474664"/>
    <w:rsid w:val="4157776E"/>
    <w:rsid w:val="416E35D6"/>
    <w:rsid w:val="4171051A"/>
    <w:rsid w:val="417B60BB"/>
    <w:rsid w:val="419A5679"/>
    <w:rsid w:val="419D24D5"/>
    <w:rsid w:val="419F7588"/>
    <w:rsid w:val="41A245DA"/>
    <w:rsid w:val="41AA4BF2"/>
    <w:rsid w:val="41B227D6"/>
    <w:rsid w:val="41B56B45"/>
    <w:rsid w:val="41B660C0"/>
    <w:rsid w:val="41BE41FA"/>
    <w:rsid w:val="41C70DF7"/>
    <w:rsid w:val="41C9312E"/>
    <w:rsid w:val="41DA54D8"/>
    <w:rsid w:val="41F11D9A"/>
    <w:rsid w:val="420E5181"/>
    <w:rsid w:val="421D0878"/>
    <w:rsid w:val="4226071D"/>
    <w:rsid w:val="422C159B"/>
    <w:rsid w:val="42324C60"/>
    <w:rsid w:val="4235270E"/>
    <w:rsid w:val="423A5586"/>
    <w:rsid w:val="42446DF5"/>
    <w:rsid w:val="42584DED"/>
    <w:rsid w:val="426052B1"/>
    <w:rsid w:val="42614EE5"/>
    <w:rsid w:val="426560E1"/>
    <w:rsid w:val="42722581"/>
    <w:rsid w:val="428A193E"/>
    <w:rsid w:val="429060A7"/>
    <w:rsid w:val="42940320"/>
    <w:rsid w:val="42961BF5"/>
    <w:rsid w:val="4298117D"/>
    <w:rsid w:val="42987378"/>
    <w:rsid w:val="429D6505"/>
    <w:rsid w:val="42A15FF5"/>
    <w:rsid w:val="42B20202"/>
    <w:rsid w:val="42BC698B"/>
    <w:rsid w:val="42CD6281"/>
    <w:rsid w:val="42D263AC"/>
    <w:rsid w:val="42DC7A59"/>
    <w:rsid w:val="42F223AD"/>
    <w:rsid w:val="42FE6FA4"/>
    <w:rsid w:val="430420E0"/>
    <w:rsid w:val="430D6E9D"/>
    <w:rsid w:val="431B61D5"/>
    <w:rsid w:val="432B0310"/>
    <w:rsid w:val="43301127"/>
    <w:rsid w:val="433C29B6"/>
    <w:rsid w:val="434009FC"/>
    <w:rsid w:val="4340580E"/>
    <w:rsid w:val="434626F9"/>
    <w:rsid w:val="434A0702"/>
    <w:rsid w:val="4355293C"/>
    <w:rsid w:val="435567AB"/>
    <w:rsid w:val="43574906"/>
    <w:rsid w:val="435B2648"/>
    <w:rsid w:val="435B43F6"/>
    <w:rsid w:val="435C7AB1"/>
    <w:rsid w:val="435E7A42"/>
    <w:rsid w:val="43654948"/>
    <w:rsid w:val="43657023"/>
    <w:rsid w:val="436A63E7"/>
    <w:rsid w:val="436C03B1"/>
    <w:rsid w:val="43714DAD"/>
    <w:rsid w:val="4377406A"/>
    <w:rsid w:val="4391317D"/>
    <w:rsid w:val="439578E9"/>
    <w:rsid w:val="439745DC"/>
    <w:rsid w:val="439E2C3D"/>
    <w:rsid w:val="439E42E3"/>
    <w:rsid w:val="43A27263"/>
    <w:rsid w:val="43B55F3D"/>
    <w:rsid w:val="43C04259"/>
    <w:rsid w:val="43CC2BFE"/>
    <w:rsid w:val="43D84B60"/>
    <w:rsid w:val="43DD4E0B"/>
    <w:rsid w:val="43EC32A0"/>
    <w:rsid w:val="43ED0DC6"/>
    <w:rsid w:val="43F81C45"/>
    <w:rsid w:val="43FA1D07"/>
    <w:rsid w:val="440074CF"/>
    <w:rsid w:val="440700DA"/>
    <w:rsid w:val="440F1E51"/>
    <w:rsid w:val="44144550"/>
    <w:rsid w:val="44186EB6"/>
    <w:rsid w:val="441B3B85"/>
    <w:rsid w:val="44214224"/>
    <w:rsid w:val="442C3FDB"/>
    <w:rsid w:val="442E38B9"/>
    <w:rsid w:val="443142DB"/>
    <w:rsid w:val="44547EF5"/>
    <w:rsid w:val="44670B0B"/>
    <w:rsid w:val="446A724F"/>
    <w:rsid w:val="446C0EDF"/>
    <w:rsid w:val="44705C7F"/>
    <w:rsid w:val="4478229E"/>
    <w:rsid w:val="448404AA"/>
    <w:rsid w:val="44867251"/>
    <w:rsid w:val="448D14D3"/>
    <w:rsid w:val="448E1D24"/>
    <w:rsid w:val="44902CD8"/>
    <w:rsid w:val="44B57B36"/>
    <w:rsid w:val="44B85878"/>
    <w:rsid w:val="44B87626"/>
    <w:rsid w:val="44B96268"/>
    <w:rsid w:val="44CD7E13"/>
    <w:rsid w:val="44CE41EB"/>
    <w:rsid w:val="44CF3380"/>
    <w:rsid w:val="44D65FFB"/>
    <w:rsid w:val="44DE708D"/>
    <w:rsid w:val="44E16B7D"/>
    <w:rsid w:val="44E678A3"/>
    <w:rsid w:val="44F6162D"/>
    <w:rsid w:val="44FF7003"/>
    <w:rsid w:val="451505D5"/>
    <w:rsid w:val="45375269"/>
    <w:rsid w:val="455410FD"/>
    <w:rsid w:val="455E1EA7"/>
    <w:rsid w:val="455E3D2A"/>
    <w:rsid w:val="45660E30"/>
    <w:rsid w:val="45664A3A"/>
    <w:rsid w:val="456B28EB"/>
    <w:rsid w:val="456F4189"/>
    <w:rsid w:val="45772382"/>
    <w:rsid w:val="457B7A6B"/>
    <w:rsid w:val="4584279D"/>
    <w:rsid w:val="458539AC"/>
    <w:rsid w:val="45863281"/>
    <w:rsid w:val="459260C9"/>
    <w:rsid w:val="45B20519"/>
    <w:rsid w:val="45B3320D"/>
    <w:rsid w:val="45DA2780"/>
    <w:rsid w:val="45E74D31"/>
    <w:rsid w:val="45EE5265"/>
    <w:rsid w:val="45EE6B34"/>
    <w:rsid w:val="45EF7078"/>
    <w:rsid w:val="45F31AA8"/>
    <w:rsid w:val="45F466CB"/>
    <w:rsid w:val="45F573B8"/>
    <w:rsid w:val="45FC2C48"/>
    <w:rsid w:val="4605689B"/>
    <w:rsid w:val="460E1286"/>
    <w:rsid w:val="46107CD2"/>
    <w:rsid w:val="46147237"/>
    <w:rsid w:val="462404C8"/>
    <w:rsid w:val="465008D1"/>
    <w:rsid w:val="4656128D"/>
    <w:rsid w:val="465E1505"/>
    <w:rsid w:val="46620138"/>
    <w:rsid w:val="46767799"/>
    <w:rsid w:val="467852BF"/>
    <w:rsid w:val="4685552F"/>
    <w:rsid w:val="469A0CA8"/>
    <w:rsid w:val="469A3487"/>
    <w:rsid w:val="46A3530C"/>
    <w:rsid w:val="46B51498"/>
    <w:rsid w:val="46BC33FE"/>
    <w:rsid w:val="46D06EA9"/>
    <w:rsid w:val="46D17977"/>
    <w:rsid w:val="46F74436"/>
    <w:rsid w:val="47134FE8"/>
    <w:rsid w:val="47190A09"/>
    <w:rsid w:val="47244071"/>
    <w:rsid w:val="474433F3"/>
    <w:rsid w:val="47514695"/>
    <w:rsid w:val="475239D4"/>
    <w:rsid w:val="47581081"/>
    <w:rsid w:val="475C698F"/>
    <w:rsid w:val="47894C80"/>
    <w:rsid w:val="478A3822"/>
    <w:rsid w:val="478C4AD1"/>
    <w:rsid w:val="47901F03"/>
    <w:rsid w:val="479243B4"/>
    <w:rsid w:val="47A143A2"/>
    <w:rsid w:val="47A3653C"/>
    <w:rsid w:val="47A51784"/>
    <w:rsid w:val="47B372EB"/>
    <w:rsid w:val="47B57E4D"/>
    <w:rsid w:val="47C307BC"/>
    <w:rsid w:val="47D14C87"/>
    <w:rsid w:val="47D76015"/>
    <w:rsid w:val="47DF53F1"/>
    <w:rsid w:val="47FD6DE6"/>
    <w:rsid w:val="4800731A"/>
    <w:rsid w:val="480C5CBF"/>
    <w:rsid w:val="480F3A01"/>
    <w:rsid w:val="482A25E9"/>
    <w:rsid w:val="48427933"/>
    <w:rsid w:val="48473A2B"/>
    <w:rsid w:val="484A1695"/>
    <w:rsid w:val="484A2C8B"/>
    <w:rsid w:val="485D70F7"/>
    <w:rsid w:val="486D2D4F"/>
    <w:rsid w:val="48741AB6"/>
    <w:rsid w:val="48785837"/>
    <w:rsid w:val="48797229"/>
    <w:rsid w:val="487B658A"/>
    <w:rsid w:val="488A14A0"/>
    <w:rsid w:val="48904B42"/>
    <w:rsid w:val="48A57EC2"/>
    <w:rsid w:val="48A628FF"/>
    <w:rsid w:val="48AC74A2"/>
    <w:rsid w:val="48BE5166"/>
    <w:rsid w:val="48D662CD"/>
    <w:rsid w:val="48F0738F"/>
    <w:rsid w:val="48FC21D7"/>
    <w:rsid w:val="48FD385A"/>
    <w:rsid w:val="49373B0B"/>
    <w:rsid w:val="4941408E"/>
    <w:rsid w:val="494C5553"/>
    <w:rsid w:val="494D47E1"/>
    <w:rsid w:val="49524E52"/>
    <w:rsid w:val="495A5150"/>
    <w:rsid w:val="49624AA9"/>
    <w:rsid w:val="496318B2"/>
    <w:rsid w:val="496C4368"/>
    <w:rsid w:val="496E521B"/>
    <w:rsid w:val="49715DD6"/>
    <w:rsid w:val="4981448B"/>
    <w:rsid w:val="49816239"/>
    <w:rsid w:val="498354A0"/>
    <w:rsid w:val="4988711F"/>
    <w:rsid w:val="49995C78"/>
    <w:rsid w:val="49B760FE"/>
    <w:rsid w:val="49BE7E39"/>
    <w:rsid w:val="49C01457"/>
    <w:rsid w:val="49C27C4A"/>
    <w:rsid w:val="49C92650"/>
    <w:rsid w:val="49DA542A"/>
    <w:rsid w:val="49E8450A"/>
    <w:rsid w:val="49F64E79"/>
    <w:rsid w:val="49FC7FB5"/>
    <w:rsid w:val="4A02381D"/>
    <w:rsid w:val="4A044247"/>
    <w:rsid w:val="4A0A5626"/>
    <w:rsid w:val="4A1672C9"/>
    <w:rsid w:val="4A280DFB"/>
    <w:rsid w:val="4A2A3545"/>
    <w:rsid w:val="4A3F77CE"/>
    <w:rsid w:val="4A4A0D02"/>
    <w:rsid w:val="4A4D593F"/>
    <w:rsid w:val="4A4E6CBD"/>
    <w:rsid w:val="4A510E87"/>
    <w:rsid w:val="4A6C513B"/>
    <w:rsid w:val="4A735CB8"/>
    <w:rsid w:val="4A767978"/>
    <w:rsid w:val="4A843E83"/>
    <w:rsid w:val="4A913ECA"/>
    <w:rsid w:val="4A995804"/>
    <w:rsid w:val="4AAA18C9"/>
    <w:rsid w:val="4AAC5537"/>
    <w:rsid w:val="4AD25CC3"/>
    <w:rsid w:val="4ADE1207"/>
    <w:rsid w:val="4AE54E36"/>
    <w:rsid w:val="4AE57D42"/>
    <w:rsid w:val="4AE71DD4"/>
    <w:rsid w:val="4AE747C1"/>
    <w:rsid w:val="4AEA192B"/>
    <w:rsid w:val="4AEC002A"/>
    <w:rsid w:val="4AF2171C"/>
    <w:rsid w:val="4AF34F14"/>
    <w:rsid w:val="4B02784D"/>
    <w:rsid w:val="4B052E99"/>
    <w:rsid w:val="4B115DA6"/>
    <w:rsid w:val="4B1325CE"/>
    <w:rsid w:val="4B177334"/>
    <w:rsid w:val="4B2D2F15"/>
    <w:rsid w:val="4B3A0D95"/>
    <w:rsid w:val="4B487E57"/>
    <w:rsid w:val="4B54688A"/>
    <w:rsid w:val="4B5C4865"/>
    <w:rsid w:val="4B6469EB"/>
    <w:rsid w:val="4B6D7DA4"/>
    <w:rsid w:val="4B6E0A3F"/>
    <w:rsid w:val="4B810673"/>
    <w:rsid w:val="4B8B3770"/>
    <w:rsid w:val="4B8E75ED"/>
    <w:rsid w:val="4B986C78"/>
    <w:rsid w:val="4BA12BC2"/>
    <w:rsid w:val="4BA50169"/>
    <w:rsid w:val="4BAB1C93"/>
    <w:rsid w:val="4BAF1783"/>
    <w:rsid w:val="4BB548C0"/>
    <w:rsid w:val="4BB7018C"/>
    <w:rsid w:val="4BCB40E3"/>
    <w:rsid w:val="4BDE7891"/>
    <w:rsid w:val="4BE01769"/>
    <w:rsid w:val="4BF35837"/>
    <w:rsid w:val="4BF8092A"/>
    <w:rsid w:val="4BFC5CEF"/>
    <w:rsid w:val="4C066EC9"/>
    <w:rsid w:val="4C096EA3"/>
    <w:rsid w:val="4C0C0983"/>
    <w:rsid w:val="4C126731"/>
    <w:rsid w:val="4C1C79C3"/>
    <w:rsid w:val="4C260EAE"/>
    <w:rsid w:val="4C2C4B82"/>
    <w:rsid w:val="4C365A00"/>
    <w:rsid w:val="4C517BDB"/>
    <w:rsid w:val="4C5B5467"/>
    <w:rsid w:val="4C6205A3"/>
    <w:rsid w:val="4C6A4346"/>
    <w:rsid w:val="4C803267"/>
    <w:rsid w:val="4C83051A"/>
    <w:rsid w:val="4C8D2F99"/>
    <w:rsid w:val="4C9308D6"/>
    <w:rsid w:val="4C9E7102"/>
    <w:rsid w:val="4C9F455B"/>
    <w:rsid w:val="4CA20751"/>
    <w:rsid w:val="4CB15087"/>
    <w:rsid w:val="4CB44B77"/>
    <w:rsid w:val="4CBE1552"/>
    <w:rsid w:val="4CC8759D"/>
    <w:rsid w:val="4CD55219"/>
    <w:rsid w:val="4CE0771A"/>
    <w:rsid w:val="4CEE1E37"/>
    <w:rsid w:val="4CF17B79"/>
    <w:rsid w:val="4CF84A64"/>
    <w:rsid w:val="4CFD57DC"/>
    <w:rsid w:val="4D0018B8"/>
    <w:rsid w:val="4D0D79B2"/>
    <w:rsid w:val="4D1A043A"/>
    <w:rsid w:val="4D247868"/>
    <w:rsid w:val="4D253A1E"/>
    <w:rsid w:val="4D453A21"/>
    <w:rsid w:val="4D4866E4"/>
    <w:rsid w:val="4D5A127B"/>
    <w:rsid w:val="4D5A3BC7"/>
    <w:rsid w:val="4D5B24BA"/>
    <w:rsid w:val="4D722A68"/>
    <w:rsid w:val="4D73058E"/>
    <w:rsid w:val="4D861AB0"/>
    <w:rsid w:val="4D9979D8"/>
    <w:rsid w:val="4DA1334D"/>
    <w:rsid w:val="4DAA5644"/>
    <w:rsid w:val="4DB34E2F"/>
    <w:rsid w:val="4DB473A2"/>
    <w:rsid w:val="4DB841F3"/>
    <w:rsid w:val="4DBE6076"/>
    <w:rsid w:val="4DC247E8"/>
    <w:rsid w:val="4DCE3A17"/>
    <w:rsid w:val="4DDF79D2"/>
    <w:rsid w:val="4DE95C88"/>
    <w:rsid w:val="4DEA6AA2"/>
    <w:rsid w:val="4DEC79F9"/>
    <w:rsid w:val="4DF27344"/>
    <w:rsid w:val="4DFD4FEE"/>
    <w:rsid w:val="4DFF1C65"/>
    <w:rsid w:val="4E021529"/>
    <w:rsid w:val="4E047438"/>
    <w:rsid w:val="4E0A55CB"/>
    <w:rsid w:val="4E0E2891"/>
    <w:rsid w:val="4E2033E7"/>
    <w:rsid w:val="4E2B70BB"/>
    <w:rsid w:val="4E2E44B5"/>
    <w:rsid w:val="4E316335"/>
    <w:rsid w:val="4E3374ED"/>
    <w:rsid w:val="4E3441C2"/>
    <w:rsid w:val="4E4B0007"/>
    <w:rsid w:val="4E4D5283"/>
    <w:rsid w:val="4E5F16FF"/>
    <w:rsid w:val="4E691202"/>
    <w:rsid w:val="4E704ACE"/>
    <w:rsid w:val="4E724056"/>
    <w:rsid w:val="4E8011B5"/>
    <w:rsid w:val="4E9407BC"/>
    <w:rsid w:val="4E9904C8"/>
    <w:rsid w:val="4EA2737D"/>
    <w:rsid w:val="4EA50C1B"/>
    <w:rsid w:val="4EA76741"/>
    <w:rsid w:val="4EA83288"/>
    <w:rsid w:val="4EB240D8"/>
    <w:rsid w:val="4EB66985"/>
    <w:rsid w:val="4EBD252D"/>
    <w:rsid w:val="4EC54E1A"/>
    <w:rsid w:val="4EDA6F61"/>
    <w:rsid w:val="4EE30C78"/>
    <w:rsid w:val="4EE8269D"/>
    <w:rsid w:val="4EF15C0F"/>
    <w:rsid w:val="4EF23735"/>
    <w:rsid w:val="4EF61477"/>
    <w:rsid w:val="4EFE20DA"/>
    <w:rsid w:val="4F0C0C9A"/>
    <w:rsid w:val="4F2A488F"/>
    <w:rsid w:val="4F2F6737"/>
    <w:rsid w:val="4F476583"/>
    <w:rsid w:val="4F4E164A"/>
    <w:rsid w:val="4F57717A"/>
    <w:rsid w:val="4F796033"/>
    <w:rsid w:val="4F7D56F4"/>
    <w:rsid w:val="4F7D74A2"/>
    <w:rsid w:val="4F7E1F5B"/>
    <w:rsid w:val="4F980780"/>
    <w:rsid w:val="4FAB04B3"/>
    <w:rsid w:val="4FBD3D43"/>
    <w:rsid w:val="4FC60605"/>
    <w:rsid w:val="4FD37E6E"/>
    <w:rsid w:val="4FD65C39"/>
    <w:rsid w:val="4FD91997"/>
    <w:rsid w:val="4FDB5D82"/>
    <w:rsid w:val="4FDD75D8"/>
    <w:rsid w:val="4FDF1F0B"/>
    <w:rsid w:val="4FE17A31"/>
    <w:rsid w:val="4FE6595F"/>
    <w:rsid w:val="4FE70DC0"/>
    <w:rsid w:val="4FF30042"/>
    <w:rsid w:val="4FF426BB"/>
    <w:rsid w:val="4FFA3C5B"/>
    <w:rsid w:val="4FFA4F97"/>
    <w:rsid w:val="5004379F"/>
    <w:rsid w:val="500A301B"/>
    <w:rsid w:val="501351EB"/>
    <w:rsid w:val="501F435C"/>
    <w:rsid w:val="5023629C"/>
    <w:rsid w:val="50324731"/>
    <w:rsid w:val="50373AF5"/>
    <w:rsid w:val="503E4E84"/>
    <w:rsid w:val="50463D38"/>
    <w:rsid w:val="504B2073"/>
    <w:rsid w:val="504D50C7"/>
    <w:rsid w:val="50506965"/>
    <w:rsid w:val="505226DD"/>
    <w:rsid w:val="50526B81"/>
    <w:rsid w:val="5068416B"/>
    <w:rsid w:val="506E39FE"/>
    <w:rsid w:val="507F1FC4"/>
    <w:rsid w:val="508049F6"/>
    <w:rsid w:val="508061FD"/>
    <w:rsid w:val="50937573"/>
    <w:rsid w:val="50A13664"/>
    <w:rsid w:val="50A71D93"/>
    <w:rsid w:val="50C06C4A"/>
    <w:rsid w:val="50C35389"/>
    <w:rsid w:val="50C72BB1"/>
    <w:rsid w:val="50F97A8C"/>
    <w:rsid w:val="50FB2D75"/>
    <w:rsid w:val="5100038B"/>
    <w:rsid w:val="510E552C"/>
    <w:rsid w:val="51122369"/>
    <w:rsid w:val="51140113"/>
    <w:rsid w:val="51197000"/>
    <w:rsid w:val="512F2D36"/>
    <w:rsid w:val="51346287"/>
    <w:rsid w:val="51402D84"/>
    <w:rsid w:val="514135E6"/>
    <w:rsid w:val="51491D32"/>
    <w:rsid w:val="5160646A"/>
    <w:rsid w:val="51750D79"/>
    <w:rsid w:val="51915487"/>
    <w:rsid w:val="51A27694"/>
    <w:rsid w:val="51A46F68"/>
    <w:rsid w:val="51AA44C3"/>
    <w:rsid w:val="51C21AE4"/>
    <w:rsid w:val="51CB2747"/>
    <w:rsid w:val="51D610EC"/>
    <w:rsid w:val="51EB103B"/>
    <w:rsid w:val="51F06651"/>
    <w:rsid w:val="51F6353C"/>
    <w:rsid w:val="52081D18"/>
    <w:rsid w:val="52303FB8"/>
    <w:rsid w:val="52357605"/>
    <w:rsid w:val="5240491E"/>
    <w:rsid w:val="524E5126"/>
    <w:rsid w:val="525E35BB"/>
    <w:rsid w:val="52666914"/>
    <w:rsid w:val="52672688"/>
    <w:rsid w:val="526A53AC"/>
    <w:rsid w:val="528079D5"/>
    <w:rsid w:val="52831274"/>
    <w:rsid w:val="52946FDD"/>
    <w:rsid w:val="52991EFC"/>
    <w:rsid w:val="52A019BD"/>
    <w:rsid w:val="52A66D10"/>
    <w:rsid w:val="52AB07CA"/>
    <w:rsid w:val="52AD5EA9"/>
    <w:rsid w:val="52B45877"/>
    <w:rsid w:val="52B6699B"/>
    <w:rsid w:val="52BC29D7"/>
    <w:rsid w:val="52C33D66"/>
    <w:rsid w:val="52C5060E"/>
    <w:rsid w:val="52D10231"/>
    <w:rsid w:val="52D93700"/>
    <w:rsid w:val="52E02222"/>
    <w:rsid w:val="52F263F9"/>
    <w:rsid w:val="53195185"/>
    <w:rsid w:val="53243902"/>
    <w:rsid w:val="532D11DF"/>
    <w:rsid w:val="532D6010"/>
    <w:rsid w:val="532F5F6D"/>
    <w:rsid w:val="53400F13"/>
    <w:rsid w:val="534233D1"/>
    <w:rsid w:val="534A7FE3"/>
    <w:rsid w:val="53535343"/>
    <w:rsid w:val="535D1AC5"/>
    <w:rsid w:val="53624E0A"/>
    <w:rsid w:val="5367649F"/>
    <w:rsid w:val="5373753A"/>
    <w:rsid w:val="537762B9"/>
    <w:rsid w:val="537B1F4B"/>
    <w:rsid w:val="53A47807"/>
    <w:rsid w:val="53AC65A8"/>
    <w:rsid w:val="53B03F05"/>
    <w:rsid w:val="53B20651"/>
    <w:rsid w:val="53B6492A"/>
    <w:rsid w:val="53C532FA"/>
    <w:rsid w:val="53C93D09"/>
    <w:rsid w:val="53EB2791"/>
    <w:rsid w:val="53FB494C"/>
    <w:rsid w:val="54077C82"/>
    <w:rsid w:val="54157B14"/>
    <w:rsid w:val="541A79B6"/>
    <w:rsid w:val="541B2C78"/>
    <w:rsid w:val="542425E2"/>
    <w:rsid w:val="54273E81"/>
    <w:rsid w:val="543B5980"/>
    <w:rsid w:val="545664CF"/>
    <w:rsid w:val="545E3D46"/>
    <w:rsid w:val="54640C31"/>
    <w:rsid w:val="546922BA"/>
    <w:rsid w:val="546B6463"/>
    <w:rsid w:val="54703A7A"/>
    <w:rsid w:val="54A83213"/>
    <w:rsid w:val="54AC0156"/>
    <w:rsid w:val="54B5148C"/>
    <w:rsid w:val="54B971CF"/>
    <w:rsid w:val="54C17E31"/>
    <w:rsid w:val="54D73AF9"/>
    <w:rsid w:val="54D758A7"/>
    <w:rsid w:val="54D940C9"/>
    <w:rsid w:val="54D9517B"/>
    <w:rsid w:val="54E67898"/>
    <w:rsid w:val="54EC4841"/>
    <w:rsid w:val="54ED50CA"/>
    <w:rsid w:val="54F16968"/>
    <w:rsid w:val="55012924"/>
    <w:rsid w:val="55054CF5"/>
    <w:rsid w:val="55202DAA"/>
    <w:rsid w:val="55362265"/>
    <w:rsid w:val="553C00FF"/>
    <w:rsid w:val="554D586A"/>
    <w:rsid w:val="555B5CD3"/>
    <w:rsid w:val="5563056F"/>
    <w:rsid w:val="556B14F3"/>
    <w:rsid w:val="55732D41"/>
    <w:rsid w:val="558F7F2F"/>
    <w:rsid w:val="559A7000"/>
    <w:rsid w:val="55A27C63"/>
    <w:rsid w:val="55A35789"/>
    <w:rsid w:val="55B47996"/>
    <w:rsid w:val="55DB7F34"/>
    <w:rsid w:val="55DD0C9B"/>
    <w:rsid w:val="55E0078B"/>
    <w:rsid w:val="55E41916"/>
    <w:rsid w:val="55F12998"/>
    <w:rsid w:val="55F203C5"/>
    <w:rsid w:val="55FA7B9F"/>
    <w:rsid w:val="5613290E"/>
    <w:rsid w:val="561346BC"/>
    <w:rsid w:val="56170651"/>
    <w:rsid w:val="56312062"/>
    <w:rsid w:val="5659713D"/>
    <w:rsid w:val="565D5B5F"/>
    <w:rsid w:val="566336FE"/>
    <w:rsid w:val="568F468B"/>
    <w:rsid w:val="568F7482"/>
    <w:rsid w:val="56903F5F"/>
    <w:rsid w:val="56907D46"/>
    <w:rsid w:val="569C6DA8"/>
    <w:rsid w:val="56A63783"/>
    <w:rsid w:val="56AF4D63"/>
    <w:rsid w:val="56B05008"/>
    <w:rsid w:val="56B3121B"/>
    <w:rsid w:val="56C33047"/>
    <w:rsid w:val="56C43C09"/>
    <w:rsid w:val="56C87B9D"/>
    <w:rsid w:val="56DB5E8B"/>
    <w:rsid w:val="56E0719B"/>
    <w:rsid w:val="56E147BB"/>
    <w:rsid w:val="56FB2259"/>
    <w:rsid w:val="57144B90"/>
    <w:rsid w:val="571A2668"/>
    <w:rsid w:val="571E0182"/>
    <w:rsid w:val="57247FFE"/>
    <w:rsid w:val="5728360E"/>
    <w:rsid w:val="572B2037"/>
    <w:rsid w:val="572C58C2"/>
    <w:rsid w:val="572F5526"/>
    <w:rsid w:val="573963A5"/>
    <w:rsid w:val="573A3649"/>
    <w:rsid w:val="57403CA2"/>
    <w:rsid w:val="575651A9"/>
    <w:rsid w:val="575B27BF"/>
    <w:rsid w:val="575E22AF"/>
    <w:rsid w:val="575F36B1"/>
    <w:rsid w:val="577B0867"/>
    <w:rsid w:val="577D0B2F"/>
    <w:rsid w:val="57833AC4"/>
    <w:rsid w:val="57A05CB7"/>
    <w:rsid w:val="57A53B6E"/>
    <w:rsid w:val="57B258B6"/>
    <w:rsid w:val="57BB1FCF"/>
    <w:rsid w:val="57BD0D84"/>
    <w:rsid w:val="57C02622"/>
    <w:rsid w:val="57C14870"/>
    <w:rsid w:val="57CA5A63"/>
    <w:rsid w:val="57CD4D3F"/>
    <w:rsid w:val="57E7503E"/>
    <w:rsid w:val="57FE5BA7"/>
    <w:rsid w:val="58044C05"/>
    <w:rsid w:val="580558FE"/>
    <w:rsid w:val="581009F2"/>
    <w:rsid w:val="581F559B"/>
    <w:rsid w:val="58252630"/>
    <w:rsid w:val="584A4134"/>
    <w:rsid w:val="584D37F5"/>
    <w:rsid w:val="58594930"/>
    <w:rsid w:val="585B059D"/>
    <w:rsid w:val="5889510A"/>
    <w:rsid w:val="589375E9"/>
    <w:rsid w:val="589F492D"/>
    <w:rsid w:val="58A41F44"/>
    <w:rsid w:val="58A94B7A"/>
    <w:rsid w:val="58AD0DF8"/>
    <w:rsid w:val="58B504D3"/>
    <w:rsid w:val="58B71C77"/>
    <w:rsid w:val="58B77EC9"/>
    <w:rsid w:val="58C3686E"/>
    <w:rsid w:val="58C46142"/>
    <w:rsid w:val="58DA7713"/>
    <w:rsid w:val="58E80082"/>
    <w:rsid w:val="58E81E30"/>
    <w:rsid w:val="59017396"/>
    <w:rsid w:val="590363F9"/>
    <w:rsid w:val="59066D85"/>
    <w:rsid w:val="59205A6E"/>
    <w:rsid w:val="592B61C1"/>
    <w:rsid w:val="59321ACF"/>
    <w:rsid w:val="59371AB8"/>
    <w:rsid w:val="593B4656"/>
    <w:rsid w:val="59413C36"/>
    <w:rsid w:val="594F4501"/>
    <w:rsid w:val="594F66E7"/>
    <w:rsid w:val="59633BAD"/>
    <w:rsid w:val="596361DB"/>
    <w:rsid w:val="596B4729"/>
    <w:rsid w:val="596F60AE"/>
    <w:rsid w:val="59822285"/>
    <w:rsid w:val="59995A6B"/>
    <w:rsid w:val="599F3F17"/>
    <w:rsid w:val="59BC1A84"/>
    <w:rsid w:val="59BF3454"/>
    <w:rsid w:val="59C503C4"/>
    <w:rsid w:val="59CE54CA"/>
    <w:rsid w:val="59DF76D7"/>
    <w:rsid w:val="59E10417"/>
    <w:rsid w:val="59E3084A"/>
    <w:rsid w:val="59E720E8"/>
    <w:rsid w:val="59EE16C8"/>
    <w:rsid w:val="59F44805"/>
    <w:rsid w:val="59F667CF"/>
    <w:rsid w:val="59FB55E7"/>
    <w:rsid w:val="5A032B4E"/>
    <w:rsid w:val="5A0744A1"/>
    <w:rsid w:val="5A0802B0"/>
    <w:rsid w:val="5A0A227A"/>
    <w:rsid w:val="5A0A4028"/>
    <w:rsid w:val="5A1214B9"/>
    <w:rsid w:val="5A144CFE"/>
    <w:rsid w:val="5A361039"/>
    <w:rsid w:val="5A492DA3"/>
    <w:rsid w:val="5A4A0C19"/>
    <w:rsid w:val="5A4C0FFB"/>
    <w:rsid w:val="5A4C1270"/>
    <w:rsid w:val="5A4E632B"/>
    <w:rsid w:val="5A584D94"/>
    <w:rsid w:val="5A673229"/>
    <w:rsid w:val="5A76346C"/>
    <w:rsid w:val="5A843DDB"/>
    <w:rsid w:val="5A861664"/>
    <w:rsid w:val="5A8C0EE1"/>
    <w:rsid w:val="5AA0484E"/>
    <w:rsid w:val="5AA955EF"/>
    <w:rsid w:val="5AAB2EB7"/>
    <w:rsid w:val="5AAB5372"/>
    <w:rsid w:val="5AB97AD3"/>
    <w:rsid w:val="5ABE1D47"/>
    <w:rsid w:val="5ACB49BA"/>
    <w:rsid w:val="5ACE32A8"/>
    <w:rsid w:val="5AD3285A"/>
    <w:rsid w:val="5AD703AE"/>
    <w:rsid w:val="5ADA1C4D"/>
    <w:rsid w:val="5AE30232"/>
    <w:rsid w:val="5AF30F60"/>
    <w:rsid w:val="5AF947C9"/>
    <w:rsid w:val="5AFC7E15"/>
    <w:rsid w:val="5B0839A6"/>
    <w:rsid w:val="5B2555BE"/>
    <w:rsid w:val="5B3E4539"/>
    <w:rsid w:val="5B3F7D02"/>
    <w:rsid w:val="5B4D0671"/>
    <w:rsid w:val="5B5E0D4A"/>
    <w:rsid w:val="5B612747"/>
    <w:rsid w:val="5B696D82"/>
    <w:rsid w:val="5B6B0AF7"/>
    <w:rsid w:val="5B6D5AE5"/>
    <w:rsid w:val="5B70610D"/>
    <w:rsid w:val="5B8701FE"/>
    <w:rsid w:val="5B8D4F11"/>
    <w:rsid w:val="5B8D6CBF"/>
    <w:rsid w:val="5BA30995"/>
    <w:rsid w:val="5BBE50CA"/>
    <w:rsid w:val="5BC86507"/>
    <w:rsid w:val="5BCC3C8B"/>
    <w:rsid w:val="5BD1414B"/>
    <w:rsid w:val="5BE03293"/>
    <w:rsid w:val="5BE2480A"/>
    <w:rsid w:val="5BEA3E7B"/>
    <w:rsid w:val="5C0A6562"/>
    <w:rsid w:val="5C133668"/>
    <w:rsid w:val="5C134749"/>
    <w:rsid w:val="5C1A2AF8"/>
    <w:rsid w:val="5C1F387C"/>
    <w:rsid w:val="5C381321"/>
    <w:rsid w:val="5C3D2C22"/>
    <w:rsid w:val="5C444255"/>
    <w:rsid w:val="5C555623"/>
    <w:rsid w:val="5C651B97"/>
    <w:rsid w:val="5C690255"/>
    <w:rsid w:val="5C72587E"/>
    <w:rsid w:val="5C82434A"/>
    <w:rsid w:val="5C891DD6"/>
    <w:rsid w:val="5C966047"/>
    <w:rsid w:val="5C9D73D6"/>
    <w:rsid w:val="5CA21E41"/>
    <w:rsid w:val="5CA26954"/>
    <w:rsid w:val="5CA93657"/>
    <w:rsid w:val="5CB71076"/>
    <w:rsid w:val="5CB84210"/>
    <w:rsid w:val="5CB92217"/>
    <w:rsid w:val="5CC93D27"/>
    <w:rsid w:val="5CCC3817"/>
    <w:rsid w:val="5CE943C9"/>
    <w:rsid w:val="5CF51E42"/>
    <w:rsid w:val="5D193B32"/>
    <w:rsid w:val="5D215911"/>
    <w:rsid w:val="5D277813"/>
    <w:rsid w:val="5D2E6280"/>
    <w:rsid w:val="5D30024A"/>
    <w:rsid w:val="5D3119D1"/>
    <w:rsid w:val="5D430F1B"/>
    <w:rsid w:val="5D485594"/>
    <w:rsid w:val="5D510185"/>
    <w:rsid w:val="5D522C41"/>
    <w:rsid w:val="5D58169F"/>
    <w:rsid w:val="5D5C4B9B"/>
    <w:rsid w:val="5D656145"/>
    <w:rsid w:val="5D845EA0"/>
    <w:rsid w:val="5D8B36D2"/>
    <w:rsid w:val="5D8B5480"/>
    <w:rsid w:val="5D99194B"/>
    <w:rsid w:val="5D994B6C"/>
    <w:rsid w:val="5DAA0F2B"/>
    <w:rsid w:val="5DAD20A5"/>
    <w:rsid w:val="5DB520D2"/>
    <w:rsid w:val="5DB5346D"/>
    <w:rsid w:val="5DC04579"/>
    <w:rsid w:val="5DC51E56"/>
    <w:rsid w:val="5DCD5A99"/>
    <w:rsid w:val="5DE66B5A"/>
    <w:rsid w:val="5DE728BD"/>
    <w:rsid w:val="5DEE5705"/>
    <w:rsid w:val="5DF254FF"/>
    <w:rsid w:val="5DF4563B"/>
    <w:rsid w:val="5E02681B"/>
    <w:rsid w:val="5E0538FE"/>
    <w:rsid w:val="5E0D40E7"/>
    <w:rsid w:val="5E127A61"/>
    <w:rsid w:val="5E3062E6"/>
    <w:rsid w:val="5E323B4E"/>
    <w:rsid w:val="5E3B0C54"/>
    <w:rsid w:val="5E5341F0"/>
    <w:rsid w:val="5E536CAF"/>
    <w:rsid w:val="5E563CE0"/>
    <w:rsid w:val="5E7778E2"/>
    <w:rsid w:val="5E812ADB"/>
    <w:rsid w:val="5E885CBD"/>
    <w:rsid w:val="5E8B18DA"/>
    <w:rsid w:val="5E9640DD"/>
    <w:rsid w:val="5E9A1978"/>
    <w:rsid w:val="5EAE1426"/>
    <w:rsid w:val="5ECD661E"/>
    <w:rsid w:val="5ECF75EF"/>
    <w:rsid w:val="5ED846F5"/>
    <w:rsid w:val="5EE74938"/>
    <w:rsid w:val="5F047298"/>
    <w:rsid w:val="5F0B4ACB"/>
    <w:rsid w:val="5F1576F7"/>
    <w:rsid w:val="5F1A4D0E"/>
    <w:rsid w:val="5F3B6360"/>
    <w:rsid w:val="5F3D09FC"/>
    <w:rsid w:val="5F3F4774"/>
    <w:rsid w:val="5F4215F9"/>
    <w:rsid w:val="5F477FDF"/>
    <w:rsid w:val="5F48187B"/>
    <w:rsid w:val="5F4A72EA"/>
    <w:rsid w:val="5F511076"/>
    <w:rsid w:val="5F64242D"/>
    <w:rsid w:val="5F761901"/>
    <w:rsid w:val="5F8B5C0B"/>
    <w:rsid w:val="5F920D48"/>
    <w:rsid w:val="5F9E76ED"/>
    <w:rsid w:val="5FB73766"/>
    <w:rsid w:val="5FB81BD1"/>
    <w:rsid w:val="5FBC4017"/>
    <w:rsid w:val="5FC8476A"/>
    <w:rsid w:val="5FDB1319"/>
    <w:rsid w:val="5FE44556"/>
    <w:rsid w:val="60003F04"/>
    <w:rsid w:val="60077E55"/>
    <w:rsid w:val="600C55A7"/>
    <w:rsid w:val="6014175D"/>
    <w:rsid w:val="60244033"/>
    <w:rsid w:val="6025396A"/>
    <w:rsid w:val="603268AA"/>
    <w:rsid w:val="604D73DC"/>
    <w:rsid w:val="605E571B"/>
    <w:rsid w:val="606C74FF"/>
    <w:rsid w:val="607E751E"/>
    <w:rsid w:val="6082700E"/>
    <w:rsid w:val="60953A2C"/>
    <w:rsid w:val="6097125D"/>
    <w:rsid w:val="609C0867"/>
    <w:rsid w:val="60AC5E39"/>
    <w:rsid w:val="60AE41C0"/>
    <w:rsid w:val="60B46770"/>
    <w:rsid w:val="60BA513F"/>
    <w:rsid w:val="60C92111"/>
    <w:rsid w:val="60DB1769"/>
    <w:rsid w:val="60EB1C5F"/>
    <w:rsid w:val="60F3284E"/>
    <w:rsid w:val="60F577E0"/>
    <w:rsid w:val="60F63558"/>
    <w:rsid w:val="60F670B5"/>
    <w:rsid w:val="60F877AE"/>
    <w:rsid w:val="60FA4DF7"/>
    <w:rsid w:val="60FF240D"/>
    <w:rsid w:val="610C1A1E"/>
    <w:rsid w:val="610C68D8"/>
    <w:rsid w:val="610E79D9"/>
    <w:rsid w:val="6110461A"/>
    <w:rsid w:val="61145862"/>
    <w:rsid w:val="6122394F"/>
    <w:rsid w:val="612B4FB0"/>
    <w:rsid w:val="613340D5"/>
    <w:rsid w:val="613A02BC"/>
    <w:rsid w:val="613D1187"/>
    <w:rsid w:val="613F769B"/>
    <w:rsid w:val="61502C69"/>
    <w:rsid w:val="6155202D"/>
    <w:rsid w:val="61575781"/>
    <w:rsid w:val="615F2EAC"/>
    <w:rsid w:val="61614E76"/>
    <w:rsid w:val="6162299C"/>
    <w:rsid w:val="61671D60"/>
    <w:rsid w:val="61753621"/>
    <w:rsid w:val="61761FA3"/>
    <w:rsid w:val="619351DB"/>
    <w:rsid w:val="61947C35"/>
    <w:rsid w:val="619F2EB0"/>
    <w:rsid w:val="619F599E"/>
    <w:rsid w:val="61A3248A"/>
    <w:rsid w:val="61B41449"/>
    <w:rsid w:val="61C87004"/>
    <w:rsid w:val="61DC1BA0"/>
    <w:rsid w:val="61DF5D9B"/>
    <w:rsid w:val="61E11B13"/>
    <w:rsid w:val="61EB6DB0"/>
    <w:rsid w:val="61F05AA1"/>
    <w:rsid w:val="61F25ACE"/>
    <w:rsid w:val="61F50987"/>
    <w:rsid w:val="61F93300"/>
    <w:rsid w:val="61FA4982"/>
    <w:rsid w:val="620677CB"/>
    <w:rsid w:val="620A1069"/>
    <w:rsid w:val="620A5FBD"/>
    <w:rsid w:val="620B5EE6"/>
    <w:rsid w:val="620E751D"/>
    <w:rsid w:val="62193498"/>
    <w:rsid w:val="62265BF1"/>
    <w:rsid w:val="622F2C7F"/>
    <w:rsid w:val="62377A96"/>
    <w:rsid w:val="62380B25"/>
    <w:rsid w:val="623C4F9B"/>
    <w:rsid w:val="62400EAD"/>
    <w:rsid w:val="625075FB"/>
    <w:rsid w:val="625B684B"/>
    <w:rsid w:val="625D412A"/>
    <w:rsid w:val="62612477"/>
    <w:rsid w:val="626F711E"/>
    <w:rsid w:val="62764951"/>
    <w:rsid w:val="6299063F"/>
    <w:rsid w:val="629934BE"/>
    <w:rsid w:val="62A74B0A"/>
    <w:rsid w:val="62C70D09"/>
    <w:rsid w:val="62CA3942"/>
    <w:rsid w:val="62D578C9"/>
    <w:rsid w:val="62D926AC"/>
    <w:rsid w:val="62DF7DB4"/>
    <w:rsid w:val="62E31181"/>
    <w:rsid w:val="63141A74"/>
    <w:rsid w:val="631C7E82"/>
    <w:rsid w:val="631E54B8"/>
    <w:rsid w:val="632B334C"/>
    <w:rsid w:val="633B34A5"/>
    <w:rsid w:val="633D0802"/>
    <w:rsid w:val="63452E4E"/>
    <w:rsid w:val="634562FD"/>
    <w:rsid w:val="636C18B0"/>
    <w:rsid w:val="636D4B59"/>
    <w:rsid w:val="637F3391"/>
    <w:rsid w:val="63862972"/>
    <w:rsid w:val="638B5099"/>
    <w:rsid w:val="638D5EF2"/>
    <w:rsid w:val="639C3F43"/>
    <w:rsid w:val="63A675D8"/>
    <w:rsid w:val="63AC7EFE"/>
    <w:rsid w:val="63B07EEF"/>
    <w:rsid w:val="63BC0700"/>
    <w:rsid w:val="63C4349A"/>
    <w:rsid w:val="63C92058"/>
    <w:rsid w:val="63D3192F"/>
    <w:rsid w:val="63DF2082"/>
    <w:rsid w:val="63E804EC"/>
    <w:rsid w:val="63F37152"/>
    <w:rsid w:val="63F57AF7"/>
    <w:rsid w:val="63FB494D"/>
    <w:rsid w:val="63FE4BFE"/>
    <w:rsid w:val="64020817"/>
    <w:rsid w:val="64046E46"/>
    <w:rsid w:val="640C24BA"/>
    <w:rsid w:val="6414138E"/>
    <w:rsid w:val="641461CF"/>
    <w:rsid w:val="64235D27"/>
    <w:rsid w:val="642D7291"/>
    <w:rsid w:val="643C5726"/>
    <w:rsid w:val="643E4FFA"/>
    <w:rsid w:val="643F252E"/>
    <w:rsid w:val="64430863"/>
    <w:rsid w:val="6444226E"/>
    <w:rsid w:val="644578EC"/>
    <w:rsid w:val="644840CB"/>
    <w:rsid w:val="645666EE"/>
    <w:rsid w:val="64590086"/>
    <w:rsid w:val="645F77A0"/>
    <w:rsid w:val="646D7282"/>
    <w:rsid w:val="64781D52"/>
    <w:rsid w:val="64786E45"/>
    <w:rsid w:val="647C1FC7"/>
    <w:rsid w:val="64836EB1"/>
    <w:rsid w:val="64846B72"/>
    <w:rsid w:val="648570CD"/>
    <w:rsid w:val="648A55E8"/>
    <w:rsid w:val="648A69FB"/>
    <w:rsid w:val="648F5856"/>
    <w:rsid w:val="649347D7"/>
    <w:rsid w:val="64960392"/>
    <w:rsid w:val="649E1F3D"/>
    <w:rsid w:val="64A318FC"/>
    <w:rsid w:val="64C066C0"/>
    <w:rsid w:val="64E9765C"/>
    <w:rsid w:val="64EE3946"/>
    <w:rsid w:val="64F16511"/>
    <w:rsid w:val="64F34037"/>
    <w:rsid w:val="64F93617"/>
    <w:rsid w:val="64FC2F6E"/>
    <w:rsid w:val="64FF0C2E"/>
    <w:rsid w:val="65137561"/>
    <w:rsid w:val="6518584B"/>
    <w:rsid w:val="651D5558"/>
    <w:rsid w:val="65293EFC"/>
    <w:rsid w:val="652D4159"/>
    <w:rsid w:val="652F2B95"/>
    <w:rsid w:val="65343FF4"/>
    <w:rsid w:val="65476131"/>
    <w:rsid w:val="654F0FE3"/>
    <w:rsid w:val="65551864"/>
    <w:rsid w:val="656071F2"/>
    <w:rsid w:val="65610A4C"/>
    <w:rsid w:val="656C5B5F"/>
    <w:rsid w:val="65766A16"/>
    <w:rsid w:val="65802BC3"/>
    <w:rsid w:val="6582439F"/>
    <w:rsid w:val="65831AA8"/>
    <w:rsid w:val="65A7460D"/>
    <w:rsid w:val="65AE016F"/>
    <w:rsid w:val="65B17A4E"/>
    <w:rsid w:val="65B23EF2"/>
    <w:rsid w:val="65B41784"/>
    <w:rsid w:val="65B46E75"/>
    <w:rsid w:val="65B60376"/>
    <w:rsid w:val="65B81838"/>
    <w:rsid w:val="65BA2DA7"/>
    <w:rsid w:val="65C14135"/>
    <w:rsid w:val="65D242AA"/>
    <w:rsid w:val="65D26342"/>
    <w:rsid w:val="65D73958"/>
    <w:rsid w:val="65D87AAA"/>
    <w:rsid w:val="65DC4ACB"/>
    <w:rsid w:val="65DF09C8"/>
    <w:rsid w:val="65E15122"/>
    <w:rsid w:val="65E25E59"/>
    <w:rsid w:val="65F10296"/>
    <w:rsid w:val="65F51E26"/>
    <w:rsid w:val="65F75DA9"/>
    <w:rsid w:val="660B1854"/>
    <w:rsid w:val="66157FDD"/>
    <w:rsid w:val="66181856"/>
    <w:rsid w:val="662621EA"/>
    <w:rsid w:val="662D3578"/>
    <w:rsid w:val="6635242D"/>
    <w:rsid w:val="6639016F"/>
    <w:rsid w:val="663A3EE7"/>
    <w:rsid w:val="663F14FE"/>
    <w:rsid w:val="66411EB5"/>
    <w:rsid w:val="66413ADD"/>
    <w:rsid w:val="665C16B7"/>
    <w:rsid w:val="66645656"/>
    <w:rsid w:val="667B2536"/>
    <w:rsid w:val="667C62AE"/>
    <w:rsid w:val="66863951"/>
    <w:rsid w:val="66AA160B"/>
    <w:rsid w:val="66AD6AFC"/>
    <w:rsid w:val="66B477F6"/>
    <w:rsid w:val="66B75BC4"/>
    <w:rsid w:val="66B94F27"/>
    <w:rsid w:val="66BF3DE7"/>
    <w:rsid w:val="66C2220F"/>
    <w:rsid w:val="66CD659B"/>
    <w:rsid w:val="66D103A8"/>
    <w:rsid w:val="66D24454"/>
    <w:rsid w:val="66DC4518"/>
    <w:rsid w:val="66E300DB"/>
    <w:rsid w:val="66E42D65"/>
    <w:rsid w:val="66E60A07"/>
    <w:rsid w:val="66E778EF"/>
    <w:rsid w:val="66F117A6"/>
    <w:rsid w:val="670D71E8"/>
    <w:rsid w:val="671250BE"/>
    <w:rsid w:val="67267B2D"/>
    <w:rsid w:val="672735C1"/>
    <w:rsid w:val="6733121B"/>
    <w:rsid w:val="67346180"/>
    <w:rsid w:val="6735387D"/>
    <w:rsid w:val="67395F4D"/>
    <w:rsid w:val="67461FC9"/>
    <w:rsid w:val="674768BC"/>
    <w:rsid w:val="674C2796"/>
    <w:rsid w:val="674F0294"/>
    <w:rsid w:val="675073F2"/>
    <w:rsid w:val="675D60DF"/>
    <w:rsid w:val="675E59B4"/>
    <w:rsid w:val="67611718"/>
    <w:rsid w:val="676241F8"/>
    <w:rsid w:val="676C1E7F"/>
    <w:rsid w:val="676C64BF"/>
    <w:rsid w:val="677A27ED"/>
    <w:rsid w:val="678E364A"/>
    <w:rsid w:val="678F707E"/>
    <w:rsid w:val="679124B9"/>
    <w:rsid w:val="679141EB"/>
    <w:rsid w:val="679B005B"/>
    <w:rsid w:val="67A005B2"/>
    <w:rsid w:val="67A930D3"/>
    <w:rsid w:val="67AC28B8"/>
    <w:rsid w:val="67B64473"/>
    <w:rsid w:val="67BC609B"/>
    <w:rsid w:val="67C31210"/>
    <w:rsid w:val="67C41CBB"/>
    <w:rsid w:val="67C749C6"/>
    <w:rsid w:val="67CA4DF7"/>
    <w:rsid w:val="67CE03C6"/>
    <w:rsid w:val="67CE2B39"/>
    <w:rsid w:val="67EE0AE5"/>
    <w:rsid w:val="67FA1B80"/>
    <w:rsid w:val="67FE0BB6"/>
    <w:rsid w:val="680B4215"/>
    <w:rsid w:val="680B78E9"/>
    <w:rsid w:val="682409AB"/>
    <w:rsid w:val="68330BEE"/>
    <w:rsid w:val="6834222E"/>
    <w:rsid w:val="68580655"/>
    <w:rsid w:val="68633281"/>
    <w:rsid w:val="68662BD0"/>
    <w:rsid w:val="686932F4"/>
    <w:rsid w:val="686B0388"/>
    <w:rsid w:val="686D5FFE"/>
    <w:rsid w:val="68882CE8"/>
    <w:rsid w:val="688D352F"/>
    <w:rsid w:val="68995D8A"/>
    <w:rsid w:val="689E292E"/>
    <w:rsid w:val="68A152C4"/>
    <w:rsid w:val="68AB2361"/>
    <w:rsid w:val="68B166E3"/>
    <w:rsid w:val="68C36416"/>
    <w:rsid w:val="68E5013A"/>
    <w:rsid w:val="68E679A2"/>
    <w:rsid w:val="68E819D9"/>
    <w:rsid w:val="68EC14C9"/>
    <w:rsid w:val="68ED3493"/>
    <w:rsid w:val="68F04A29"/>
    <w:rsid w:val="69021FA8"/>
    <w:rsid w:val="691B552B"/>
    <w:rsid w:val="69320EA6"/>
    <w:rsid w:val="694C40E4"/>
    <w:rsid w:val="697659B9"/>
    <w:rsid w:val="69801C11"/>
    <w:rsid w:val="698536CB"/>
    <w:rsid w:val="69881DD0"/>
    <w:rsid w:val="69A004FC"/>
    <w:rsid w:val="69A2427D"/>
    <w:rsid w:val="69A2602B"/>
    <w:rsid w:val="69AB1384"/>
    <w:rsid w:val="69DC2875"/>
    <w:rsid w:val="69E045AA"/>
    <w:rsid w:val="69E75C1D"/>
    <w:rsid w:val="69EA4C26"/>
    <w:rsid w:val="69EB79D2"/>
    <w:rsid w:val="69F055C0"/>
    <w:rsid w:val="69F7603F"/>
    <w:rsid w:val="69F85FA8"/>
    <w:rsid w:val="6A024D1C"/>
    <w:rsid w:val="6A0C77DB"/>
    <w:rsid w:val="6A1A5D8A"/>
    <w:rsid w:val="6A2353BE"/>
    <w:rsid w:val="6A246A40"/>
    <w:rsid w:val="6A2C3B47"/>
    <w:rsid w:val="6A306FAC"/>
    <w:rsid w:val="6A372C18"/>
    <w:rsid w:val="6A383B9C"/>
    <w:rsid w:val="6A3B64D0"/>
    <w:rsid w:val="6A5224CC"/>
    <w:rsid w:val="6A5A3787"/>
    <w:rsid w:val="6A694D9B"/>
    <w:rsid w:val="6A6D0181"/>
    <w:rsid w:val="6A731776"/>
    <w:rsid w:val="6A764478"/>
    <w:rsid w:val="6A7D7C57"/>
    <w:rsid w:val="6AB46016"/>
    <w:rsid w:val="6ABF2624"/>
    <w:rsid w:val="6AC50223"/>
    <w:rsid w:val="6ACA583A"/>
    <w:rsid w:val="6ACF0827"/>
    <w:rsid w:val="6AD11C05"/>
    <w:rsid w:val="6AD42C08"/>
    <w:rsid w:val="6AD91D08"/>
    <w:rsid w:val="6ADD7329"/>
    <w:rsid w:val="6AFB247E"/>
    <w:rsid w:val="6AFB3C45"/>
    <w:rsid w:val="6B0C732F"/>
    <w:rsid w:val="6B0D0EFB"/>
    <w:rsid w:val="6B151116"/>
    <w:rsid w:val="6B20545A"/>
    <w:rsid w:val="6B33657D"/>
    <w:rsid w:val="6B355DFF"/>
    <w:rsid w:val="6B3D6961"/>
    <w:rsid w:val="6B4D0219"/>
    <w:rsid w:val="6B560E7C"/>
    <w:rsid w:val="6B624931"/>
    <w:rsid w:val="6B6A1C65"/>
    <w:rsid w:val="6B6F018F"/>
    <w:rsid w:val="6B6F1F3D"/>
    <w:rsid w:val="6B7357E7"/>
    <w:rsid w:val="6B76151E"/>
    <w:rsid w:val="6B7F041F"/>
    <w:rsid w:val="6B8A3CDB"/>
    <w:rsid w:val="6B8B5300"/>
    <w:rsid w:val="6B8F1E9D"/>
    <w:rsid w:val="6B944722"/>
    <w:rsid w:val="6B945E48"/>
    <w:rsid w:val="6BAC13E3"/>
    <w:rsid w:val="6BCA186A"/>
    <w:rsid w:val="6BCB7ABB"/>
    <w:rsid w:val="6BCF5D48"/>
    <w:rsid w:val="6BD57112"/>
    <w:rsid w:val="6BD87E03"/>
    <w:rsid w:val="6BDA1E02"/>
    <w:rsid w:val="6BEE5558"/>
    <w:rsid w:val="6BF47E4F"/>
    <w:rsid w:val="6BF6440D"/>
    <w:rsid w:val="6C017E52"/>
    <w:rsid w:val="6C030E4B"/>
    <w:rsid w:val="6C046B37"/>
    <w:rsid w:val="6C055E14"/>
    <w:rsid w:val="6C07486C"/>
    <w:rsid w:val="6C0C3C30"/>
    <w:rsid w:val="6C0F6AD1"/>
    <w:rsid w:val="6C133015"/>
    <w:rsid w:val="6C16685D"/>
    <w:rsid w:val="6C172D01"/>
    <w:rsid w:val="6C1A634D"/>
    <w:rsid w:val="6C2C7E2E"/>
    <w:rsid w:val="6C2E0119"/>
    <w:rsid w:val="6C411B2C"/>
    <w:rsid w:val="6C42099F"/>
    <w:rsid w:val="6C44161C"/>
    <w:rsid w:val="6C445178"/>
    <w:rsid w:val="6C580286"/>
    <w:rsid w:val="6C580C23"/>
    <w:rsid w:val="6C587073"/>
    <w:rsid w:val="6C5B167F"/>
    <w:rsid w:val="6C5F66B7"/>
    <w:rsid w:val="6C68797E"/>
    <w:rsid w:val="6C746DE0"/>
    <w:rsid w:val="6C7B4FDE"/>
    <w:rsid w:val="6C84022E"/>
    <w:rsid w:val="6C8669DD"/>
    <w:rsid w:val="6C937EAD"/>
    <w:rsid w:val="6C9A56E0"/>
    <w:rsid w:val="6CA1081C"/>
    <w:rsid w:val="6CA928BE"/>
    <w:rsid w:val="6CB4276C"/>
    <w:rsid w:val="6CBA1240"/>
    <w:rsid w:val="6CBC11B2"/>
    <w:rsid w:val="6CC62031"/>
    <w:rsid w:val="6CD76570"/>
    <w:rsid w:val="6CD9505D"/>
    <w:rsid w:val="6CDA5ADC"/>
    <w:rsid w:val="6CE93F71"/>
    <w:rsid w:val="6CF307A1"/>
    <w:rsid w:val="6CF87C67"/>
    <w:rsid w:val="6D022035"/>
    <w:rsid w:val="6D171B6E"/>
    <w:rsid w:val="6D2F407A"/>
    <w:rsid w:val="6D3A657B"/>
    <w:rsid w:val="6D4F64CA"/>
    <w:rsid w:val="6D555826"/>
    <w:rsid w:val="6D5D6F60"/>
    <w:rsid w:val="6D6501D8"/>
    <w:rsid w:val="6D6655C2"/>
    <w:rsid w:val="6D675F16"/>
    <w:rsid w:val="6D6D7B79"/>
    <w:rsid w:val="6D8307B0"/>
    <w:rsid w:val="6D856F28"/>
    <w:rsid w:val="6D872B7A"/>
    <w:rsid w:val="6D88378A"/>
    <w:rsid w:val="6D8D2B4F"/>
    <w:rsid w:val="6D935E29"/>
    <w:rsid w:val="6DA060E2"/>
    <w:rsid w:val="6DA305C4"/>
    <w:rsid w:val="6DAC03EB"/>
    <w:rsid w:val="6DB56CBE"/>
    <w:rsid w:val="6DB97DE8"/>
    <w:rsid w:val="6DBB0A6B"/>
    <w:rsid w:val="6DC522E8"/>
    <w:rsid w:val="6DC54D82"/>
    <w:rsid w:val="6DD440B1"/>
    <w:rsid w:val="6DD95D94"/>
    <w:rsid w:val="6DE029ED"/>
    <w:rsid w:val="6DF606F4"/>
    <w:rsid w:val="6DFC4F92"/>
    <w:rsid w:val="6DFE7124"/>
    <w:rsid w:val="6E001573"/>
    <w:rsid w:val="6E0F6CB3"/>
    <w:rsid w:val="6E134F72"/>
    <w:rsid w:val="6E1B267E"/>
    <w:rsid w:val="6E303F2A"/>
    <w:rsid w:val="6E315BD0"/>
    <w:rsid w:val="6E380D0C"/>
    <w:rsid w:val="6E59732E"/>
    <w:rsid w:val="6E5B0755"/>
    <w:rsid w:val="6E5D4C17"/>
    <w:rsid w:val="6E5F79C5"/>
    <w:rsid w:val="6E6265D7"/>
    <w:rsid w:val="6E672A38"/>
    <w:rsid w:val="6E6E0BD2"/>
    <w:rsid w:val="6E6E2980"/>
    <w:rsid w:val="6E7837FF"/>
    <w:rsid w:val="6E7855AD"/>
    <w:rsid w:val="6E7B6056"/>
    <w:rsid w:val="6E7B6E4B"/>
    <w:rsid w:val="6E7F2DDF"/>
    <w:rsid w:val="6E867CCA"/>
    <w:rsid w:val="6E8977BA"/>
    <w:rsid w:val="6E9105A0"/>
    <w:rsid w:val="6E97093B"/>
    <w:rsid w:val="6E9879FD"/>
    <w:rsid w:val="6E9F6FDD"/>
    <w:rsid w:val="6EAE0FED"/>
    <w:rsid w:val="6EB56801"/>
    <w:rsid w:val="6EBF142E"/>
    <w:rsid w:val="6ED30A35"/>
    <w:rsid w:val="6ED52D4F"/>
    <w:rsid w:val="6ED8429D"/>
    <w:rsid w:val="6EE25C77"/>
    <w:rsid w:val="6EEE3E7B"/>
    <w:rsid w:val="6EF90E1F"/>
    <w:rsid w:val="6F06705D"/>
    <w:rsid w:val="6F0B6CBF"/>
    <w:rsid w:val="6F1A6375"/>
    <w:rsid w:val="6F1A6664"/>
    <w:rsid w:val="6F1C79B6"/>
    <w:rsid w:val="6F25227A"/>
    <w:rsid w:val="6F286FD3"/>
    <w:rsid w:val="6F3239AE"/>
    <w:rsid w:val="6F4277E0"/>
    <w:rsid w:val="6F4436E1"/>
    <w:rsid w:val="6F461F6C"/>
    <w:rsid w:val="6F4F27B2"/>
    <w:rsid w:val="6F5D17A2"/>
    <w:rsid w:val="6F6454F4"/>
    <w:rsid w:val="6F6873CF"/>
    <w:rsid w:val="6F712728"/>
    <w:rsid w:val="6F7D0763"/>
    <w:rsid w:val="6F8561D3"/>
    <w:rsid w:val="6F881522"/>
    <w:rsid w:val="6F932441"/>
    <w:rsid w:val="6F9778AF"/>
    <w:rsid w:val="6F982D60"/>
    <w:rsid w:val="6FC30AAA"/>
    <w:rsid w:val="6FC54822"/>
    <w:rsid w:val="6FC565D0"/>
    <w:rsid w:val="6FD97A1B"/>
    <w:rsid w:val="6FF505A3"/>
    <w:rsid w:val="700110D1"/>
    <w:rsid w:val="7003534A"/>
    <w:rsid w:val="70052867"/>
    <w:rsid w:val="70381498"/>
    <w:rsid w:val="703F35A1"/>
    <w:rsid w:val="70495453"/>
    <w:rsid w:val="704E0791"/>
    <w:rsid w:val="704F701E"/>
    <w:rsid w:val="70500C80"/>
    <w:rsid w:val="705F5105"/>
    <w:rsid w:val="70626515"/>
    <w:rsid w:val="706531C1"/>
    <w:rsid w:val="70781894"/>
    <w:rsid w:val="708446DD"/>
    <w:rsid w:val="70851F3D"/>
    <w:rsid w:val="70883DAD"/>
    <w:rsid w:val="7089584F"/>
    <w:rsid w:val="709976F3"/>
    <w:rsid w:val="70E900E5"/>
    <w:rsid w:val="70F4004C"/>
    <w:rsid w:val="710E21F8"/>
    <w:rsid w:val="711E068D"/>
    <w:rsid w:val="711F4430"/>
    <w:rsid w:val="71257C6E"/>
    <w:rsid w:val="71324139"/>
    <w:rsid w:val="7135696F"/>
    <w:rsid w:val="71461992"/>
    <w:rsid w:val="715B3DE8"/>
    <w:rsid w:val="715F4802"/>
    <w:rsid w:val="71600CA6"/>
    <w:rsid w:val="716562BC"/>
    <w:rsid w:val="7169675E"/>
    <w:rsid w:val="717B788E"/>
    <w:rsid w:val="717E737E"/>
    <w:rsid w:val="718575A0"/>
    <w:rsid w:val="718A5D23"/>
    <w:rsid w:val="718D5813"/>
    <w:rsid w:val="71926986"/>
    <w:rsid w:val="719552FF"/>
    <w:rsid w:val="71970440"/>
    <w:rsid w:val="71972B8A"/>
    <w:rsid w:val="719E0AED"/>
    <w:rsid w:val="71A1260E"/>
    <w:rsid w:val="71A3215D"/>
    <w:rsid w:val="71A861A9"/>
    <w:rsid w:val="71AA067C"/>
    <w:rsid w:val="71AA3CCF"/>
    <w:rsid w:val="71B22295"/>
    <w:rsid w:val="71B91357"/>
    <w:rsid w:val="71C852BA"/>
    <w:rsid w:val="71CA25C3"/>
    <w:rsid w:val="71CF1CEE"/>
    <w:rsid w:val="71E13469"/>
    <w:rsid w:val="71F370B7"/>
    <w:rsid w:val="71F87130"/>
    <w:rsid w:val="71FB0A9C"/>
    <w:rsid w:val="71FD4747"/>
    <w:rsid w:val="71FE6C60"/>
    <w:rsid w:val="7211635C"/>
    <w:rsid w:val="72190E55"/>
    <w:rsid w:val="722709E6"/>
    <w:rsid w:val="72281098"/>
    <w:rsid w:val="722C544E"/>
    <w:rsid w:val="722F1A94"/>
    <w:rsid w:val="7238577F"/>
    <w:rsid w:val="723B3782"/>
    <w:rsid w:val="72541E8D"/>
    <w:rsid w:val="72563E57"/>
    <w:rsid w:val="725E08FF"/>
    <w:rsid w:val="726A1347"/>
    <w:rsid w:val="726C367A"/>
    <w:rsid w:val="72701D1A"/>
    <w:rsid w:val="727D13E4"/>
    <w:rsid w:val="72822E9E"/>
    <w:rsid w:val="72842772"/>
    <w:rsid w:val="72850298"/>
    <w:rsid w:val="728C2209"/>
    <w:rsid w:val="72930C07"/>
    <w:rsid w:val="72AC3A77"/>
    <w:rsid w:val="72B33057"/>
    <w:rsid w:val="72B55BBD"/>
    <w:rsid w:val="72BC52B4"/>
    <w:rsid w:val="72C214EC"/>
    <w:rsid w:val="72E2406D"/>
    <w:rsid w:val="72E27499"/>
    <w:rsid w:val="72F1588C"/>
    <w:rsid w:val="72F20365"/>
    <w:rsid w:val="72F84F0E"/>
    <w:rsid w:val="72F922F4"/>
    <w:rsid w:val="72FF629D"/>
    <w:rsid w:val="731A30D6"/>
    <w:rsid w:val="731A7772"/>
    <w:rsid w:val="73246FA0"/>
    <w:rsid w:val="73257D5E"/>
    <w:rsid w:val="7329331A"/>
    <w:rsid w:val="73320420"/>
    <w:rsid w:val="73334198"/>
    <w:rsid w:val="73375A36"/>
    <w:rsid w:val="733A5527"/>
    <w:rsid w:val="733D49C7"/>
    <w:rsid w:val="733E6DC5"/>
    <w:rsid w:val="733F6699"/>
    <w:rsid w:val="734F079E"/>
    <w:rsid w:val="735859AD"/>
    <w:rsid w:val="735F0AE9"/>
    <w:rsid w:val="73614861"/>
    <w:rsid w:val="736B3DF3"/>
    <w:rsid w:val="738A200A"/>
    <w:rsid w:val="73972979"/>
    <w:rsid w:val="73A167FD"/>
    <w:rsid w:val="73AF3484"/>
    <w:rsid w:val="73B115BF"/>
    <w:rsid w:val="73B76B77"/>
    <w:rsid w:val="73BE7CBF"/>
    <w:rsid w:val="73C372CA"/>
    <w:rsid w:val="73D56FFD"/>
    <w:rsid w:val="73D94D40"/>
    <w:rsid w:val="73DB4062"/>
    <w:rsid w:val="73E444BF"/>
    <w:rsid w:val="73EF3BBA"/>
    <w:rsid w:val="73F13E37"/>
    <w:rsid w:val="73F606A1"/>
    <w:rsid w:val="74026044"/>
    <w:rsid w:val="741144D9"/>
    <w:rsid w:val="742739B5"/>
    <w:rsid w:val="74436CE7"/>
    <w:rsid w:val="74485D77"/>
    <w:rsid w:val="745D14CD"/>
    <w:rsid w:val="74673706"/>
    <w:rsid w:val="7476258E"/>
    <w:rsid w:val="74B12141"/>
    <w:rsid w:val="74B53A9E"/>
    <w:rsid w:val="74B65081"/>
    <w:rsid w:val="74B90F62"/>
    <w:rsid w:val="74BA133C"/>
    <w:rsid w:val="74DD37CB"/>
    <w:rsid w:val="74E0215D"/>
    <w:rsid w:val="74E05C5A"/>
    <w:rsid w:val="74E337AF"/>
    <w:rsid w:val="74F35D48"/>
    <w:rsid w:val="74FA4F6E"/>
    <w:rsid w:val="750C6A4F"/>
    <w:rsid w:val="750E6C6B"/>
    <w:rsid w:val="751678CE"/>
    <w:rsid w:val="752866D8"/>
    <w:rsid w:val="754548E7"/>
    <w:rsid w:val="75484CD4"/>
    <w:rsid w:val="75490A42"/>
    <w:rsid w:val="754D1541"/>
    <w:rsid w:val="75510906"/>
    <w:rsid w:val="75742F72"/>
    <w:rsid w:val="75826D11"/>
    <w:rsid w:val="758331B5"/>
    <w:rsid w:val="758B7DAE"/>
    <w:rsid w:val="759E7FEF"/>
    <w:rsid w:val="75AC4B07"/>
    <w:rsid w:val="75AE3651"/>
    <w:rsid w:val="75BA5E27"/>
    <w:rsid w:val="75C537CD"/>
    <w:rsid w:val="75C86E1A"/>
    <w:rsid w:val="75CB3356"/>
    <w:rsid w:val="75CD61DE"/>
    <w:rsid w:val="75ED6880"/>
    <w:rsid w:val="75F220E9"/>
    <w:rsid w:val="75F53987"/>
    <w:rsid w:val="75F70440"/>
    <w:rsid w:val="76216307"/>
    <w:rsid w:val="762878B8"/>
    <w:rsid w:val="76304ADF"/>
    <w:rsid w:val="764F6682"/>
    <w:rsid w:val="765468FF"/>
    <w:rsid w:val="765C7562"/>
    <w:rsid w:val="765D10E8"/>
    <w:rsid w:val="765D2F12"/>
    <w:rsid w:val="765E703F"/>
    <w:rsid w:val="765F1837"/>
    <w:rsid w:val="766D176F"/>
    <w:rsid w:val="768216BE"/>
    <w:rsid w:val="76BB6CEC"/>
    <w:rsid w:val="76C61592"/>
    <w:rsid w:val="76D24B93"/>
    <w:rsid w:val="76D35A76"/>
    <w:rsid w:val="76EC4D8A"/>
    <w:rsid w:val="76EF3E60"/>
    <w:rsid w:val="76F01BD6"/>
    <w:rsid w:val="76F613BD"/>
    <w:rsid w:val="76FC7D28"/>
    <w:rsid w:val="76FE2AB7"/>
    <w:rsid w:val="76FF2D0F"/>
    <w:rsid w:val="7709593C"/>
    <w:rsid w:val="771542E1"/>
    <w:rsid w:val="771A165E"/>
    <w:rsid w:val="771E10DA"/>
    <w:rsid w:val="77335ACB"/>
    <w:rsid w:val="773F3B75"/>
    <w:rsid w:val="77400C32"/>
    <w:rsid w:val="774134A3"/>
    <w:rsid w:val="77443975"/>
    <w:rsid w:val="774C58CD"/>
    <w:rsid w:val="775D6A7E"/>
    <w:rsid w:val="776E65E7"/>
    <w:rsid w:val="7771703D"/>
    <w:rsid w:val="7772528F"/>
    <w:rsid w:val="77740271"/>
    <w:rsid w:val="777544D6"/>
    <w:rsid w:val="7779587C"/>
    <w:rsid w:val="777C5EFA"/>
    <w:rsid w:val="777D6759"/>
    <w:rsid w:val="7782124A"/>
    <w:rsid w:val="778C3E77"/>
    <w:rsid w:val="77903967"/>
    <w:rsid w:val="77980A6E"/>
    <w:rsid w:val="779E6CD1"/>
    <w:rsid w:val="779F1DFC"/>
    <w:rsid w:val="77BA09E4"/>
    <w:rsid w:val="77BF424C"/>
    <w:rsid w:val="77C24432"/>
    <w:rsid w:val="77C62AF7"/>
    <w:rsid w:val="77C83101"/>
    <w:rsid w:val="77C96E79"/>
    <w:rsid w:val="77D562EA"/>
    <w:rsid w:val="77DC17CF"/>
    <w:rsid w:val="77E01F76"/>
    <w:rsid w:val="77E218B5"/>
    <w:rsid w:val="77E54CD2"/>
    <w:rsid w:val="77EB74C7"/>
    <w:rsid w:val="77EF4B32"/>
    <w:rsid w:val="77FA5285"/>
    <w:rsid w:val="77FA7033"/>
    <w:rsid w:val="781E0F73"/>
    <w:rsid w:val="781F6250"/>
    <w:rsid w:val="78341B5B"/>
    <w:rsid w:val="78393FFF"/>
    <w:rsid w:val="78396600"/>
    <w:rsid w:val="784600BD"/>
    <w:rsid w:val="785E75C1"/>
    <w:rsid w:val="7875635D"/>
    <w:rsid w:val="787B51EF"/>
    <w:rsid w:val="78872FBC"/>
    <w:rsid w:val="78880AE2"/>
    <w:rsid w:val="78A05BEC"/>
    <w:rsid w:val="78A1562B"/>
    <w:rsid w:val="78A65336"/>
    <w:rsid w:val="78AC6756"/>
    <w:rsid w:val="78B5772C"/>
    <w:rsid w:val="78B6564F"/>
    <w:rsid w:val="78B96EEE"/>
    <w:rsid w:val="78C87131"/>
    <w:rsid w:val="78D13BAA"/>
    <w:rsid w:val="78DE0702"/>
    <w:rsid w:val="78E81581"/>
    <w:rsid w:val="78EA52F9"/>
    <w:rsid w:val="78FD502C"/>
    <w:rsid w:val="790243F1"/>
    <w:rsid w:val="79052133"/>
    <w:rsid w:val="79091C23"/>
    <w:rsid w:val="790A322B"/>
    <w:rsid w:val="790C1713"/>
    <w:rsid w:val="790F0C7F"/>
    <w:rsid w:val="790F43FB"/>
    <w:rsid w:val="791233E7"/>
    <w:rsid w:val="7927403C"/>
    <w:rsid w:val="792C5912"/>
    <w:rsid w:val="79336CA0"/>
    <w:rsid w:val="793F1D99"/>
    <w:rsid w:val="794C1B10"/>
    <w:rsid w:val="79553815"/>
    <w:rsid w:val="7956473D"/>
    <w:rsid w:val="79584959"/>
    <w:rsid w:val="79606526"/>
    <w:rsid w:val="79703C66"/>
    <w:rsid w:val="798175E5"/>
    <w:rsid w:val="7988298D"/>
    <w:rsid w:val="799534B7"/>
    <w:rsid w:val="79993929"/>
    <w:rsid w:val="799F60E4"/>
    <w:rsid w:val="79A17CD4"/>
    <w:rsid w:val="79AA3DB3"/>
    <w:rsid w:val="79AD6A52"/>
    <w:rsid w:val="79B25E17"/>
    <w:rsid w:val="79B37051"/>
    <w:rsid w:val="79C74BBD"/>
    <w:rsid w:val="79CB0C87"/>
    <w:rsid w:val="79CF6ED7"/>
    <w:rsid w:val="79D305BB"/>
    <w:rsid w:val="79E5505B"/>
    <w:rsid w:val="79E61F64"/>
    <w:rsid w:val="79EE4185"/>
    <w:rsid w:val="79FF31C2"/>
    <w:rsid w:val="7A08012D"/>
    <w:rsid w:val="7A097A01"/>
    <w:rsid w:val="7A0D129F"/>
    <w:rsid w:val="7A253FB9"/>
    <w:rsid w:val="7A2605B3"/>
    <w:rsid w:val="7A2A2CC5"/>
    <w:rsid w:val="7A31156B"/>
    <w:rsid w:val="7A37631C"/>
    <w:rsid w:val="7A41363F"/>
    <w:rsid w:val="7A432F13"/>
    <w:rsid w:val="7A462A03"/>
    <w:rsid w:val="7A4B1DC7"/>
    <w:rsid w:val="7A4F2B27"/>
    <w:rsid w:val="7A523156"/>
    <w:rsid w:val="7A684727"/>
    <w:rsid w:val="7A6A4943"/>
    <w:rsid w:val="7A6F3D08"/>
    <w:rsid w:val="7AA51D99"/>
    <w:rsid w:val="7AAF2DEB"/>
    <w:rsid w:val="7ACB6585"/>
    <w:rsid w:val="7AD24AC0"/>
    <w:rsid w:val="7ADD79A1"/>
    <w:rsid w:val="7AEA5A84"/>
    <w:rsid w:val="7AF57A3C"/>
    <w:rsid w:val="7AFA4486"/>
    <w:rsid w:val="7AFD7566"/>
    <w:rsid w:val="7B1838E2"/>
    <w:rsid w:val="7B234AF2"/>
    <w:rsid w:val="7B270C2E"/>
    <w:rsid w:val="7B28536E"/>
    <w:rsid w:val="7B353C3B"/>
    <w:rsid w:val="7B430ADD"/>
    <w:rsid w:val="7B4C4049"/>
    <w:rsid w:val="7B542EFE"/>
    <w:rsid w:val="7B572093"/>
    <w:rsid w:val="7B58479C"/>
    <w:rsid w:val="7B5D1DB2"/>
    <w:rsid w:val="7B643914"/>
    <w:rsid w:val="7B676C5D"/>
    <w:rsid w:val="7B7900AD"/>
    <w:rsid w:val="7B8B4B71"/>
    <w:rsid w:val="7B961F8A"/>
    <w:rsid w:val="7BA20D6E"/>
    <w:rsid w:val="7BA8245F"/>
    <w:rsid w:val="7BAE260E"/>
    <w:rsid w:val="7BB265A2"/>
    <w:rsid w:val="7BB46A6D"/>
    <w:rsid w:val="7BC96475"/>
    <w:rsid w:val="7BDE5953"/>
    <w:rsid w:val="7BDE7533"/>
    <w:rsid w:val="7BE10C35"/>
    <w:rsid w:val="7BE61DA8"/>
    <w:rsid w:val="7C042B76"/>
    <w:rsid w:val="7C111690"/>
    <w:rsid w:val="7C1732C8"/>
    <w:rsid w:val="7C174657"/>
    <w:rsid w:val="7C1D1542"/>
    <w:rsid w:val="7C2B2BE7"/>
    <w:rsid w:val="7C2D79D7"/>
    <w:rsid w:val="7C464F3C"/>
    <w:rsid w:val="7C4838A5"/>
    <w:rsid w:val="7C5036C5"/>
    <w:rsid w:val="7C5238E1"/>
    <w:rsid w:val="7C6C37A9"/>
    <w:rsid w:val="7C730425"/>
    <w:rsid w:val="7C773348"/>
    <w:rsid w:val="7C7E0232"/>
    <w:rsid w:val="7C833A9B"/>
    <w:rsid w:val="7C907F65"/>
    <w:rsid w:val="7C9712F4"/>
    <w:rsid w:val="7CAE4B9D"/>
    <w:rsid w:val="7CBE3A2D"/>
    <w:rsid w:val="7CC67587"/>
    <w:rsid w:val="7CCB71F0"/>
    <w:rsid w:val="7CD765D8"/>
    <w:rsid w:val="7CE14B28"/>
    <w:rsid w:val="7CE9012A"/>
    <w:rsid w:val="7CF55055"/>
    <w:rsid w:val="7CF60710"/>
    <w:rsid w:val="7CF768A1"/>
    <w:rsid w:val="7D0F3580"/>
    <w:rsid w:val="7D11554A"/>
    <w:rsid w:val="7D1334F3"/>
    <w:rsid w:val="7D1B4B41"/>
    <w:rsid w:val="7D24527D"/>
    <w:rsid w:val="7D360B0D"/>
    <w:rsid w:val="7D384885"/>
    <w:rsid w:val="7D3B6123"/>
    <w:rsid w:val="7D40198C"/>
    <w:rsid w:val="7D625DA6"/>
    <w:rsid w:val="7D64258F"/>
    <w:rsid w:val="7D6B6AB1"/>
    <w:rsid w:val="7D6C452F"/>
    <w:rsid w:val="7D6F416F"/>
    <w:rsid w:val="7D8B70AB"/>
    <w:rsid w:val="7D8E070A"/>
    <w:rsid w:val="7D92087D"/>
    <w:rsid w:val="7D924535"/>
    <w:rsid w:val="7D9817C8"/>
    <w:rsid w:val="7D9E6D2F"/>
    <w:rsid w:val="7DA41043"/>
    <w:rsid w:val="7DA66CC8"/>
    <w:rsid w:val="7DB303AF"/>
    <w:rsid w:val="7DB859C6"/>
    <w:rsid w:val="7DC26844"/>
    <w:rsid w:val="7DCC1471"/>
    <w:rsid w:val="7DE440D5"/>
    <w:rsid w:val="7DF509C8"/>
    <w:rsid w:val="7DFA7D8C"/>
    <w:rsid w:val="7E221091"/>
    <w:rsid w:val="7E2D63B4"/>
    <w:rsid w:val="7E2F05AE"/>
    <w:rsid w:val="7E3314F0"/>
    <w:rsid w:val="7E373776"/>
    <w:rsid w:val="7E4B4A8C"/>
    <w:rsid w:val="7E5A082B"/>
    <w:rsid w:val="7E5C0A47"/>
    <w:rsid w:val="7E5F5EB7"/>
    <w:rsid w:val="7E6D4A02"/>
    <w:rsid w:val="7E6E287C"/>
    <w:rsid w:val="7E722019"/>
    <w:rsid w:val="7E8B30DA"/>
    <w:rsid w:val="7E926217"/>
    <w:rsid w:val="7E953898"/>
    <w:rsid w:val="7E953F59"/>
    <w:rsid w:val="7E9F0B34"/>
    <w:rsid w:val="7E9F5FB7"/>
    <w:rsid w:val="7EA85A3A"/>
    <w:rsid w:val="7EB048EF"/>
    <w:rsid w:val="7EB73ECF"/>
    <w:rsid w:val="7EC27EA2"/>
    <w:rsid w:val="7EC62175"/>
    <w:rsid w:val="7ECE7084"/>
    <w:rsid w:val="7ED4682F"/>
    <w:rsid w:val="7ED625A7"/>
    <w:rsid w:val="7ED63B8A"/>
    <w:rsid w:val="7EDA019C"/>
    <w:rsid w:val="7EE527EB"/>
    <w:rsid w:val="7EFB200E"/>
    <w:rsid w:val="7F127358"/>
    <w:rsid w:val="7F17496E"/>
    <w:rsid w:val="7F207CC7"/>
    <w:rsid w:val="7F21759B"/>
    <w:rsid w:val="7F2A32DD"/>
    <w:rsid w:val="7F4A08A0"/>
    <w:rsid w:val="7F5E7AEE"/>
    <w:rsid w:val="7F6000C3"/>
    <w:rsid w:val="7F653458"/>
    <w:rsid w:val="7F736048"/>
    <w:rsid w:val="7F8658E3"/>
    <w:rsid w:val="7F88080E"/>
    <w:rsid w:val="7F912972"/>
    <w:rsid w:val="7FC03989"/>
    <w:rsid w:val="7FC22B2C"/>
    <w:rsid w:val="7FCA2B5D"/>
    <w:rsid w:val="7FD34D39"/>
    <w:rsid w:val="7FD57BD2"/>
    <w:rsid w:val="7FF007FC"/>
    <w:rsid w:val="7FFE20F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25pt" color="#739CC3"/>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numPr>
        <w:ilvl w:val="0"/>
        <w:numId w:val="1"/>
      </w:numPr>
      <w:spacing w:before="340" w:beforeAutospacing="0" w:after="330" w:afterAutospacing="0" w:line="576" w:lineRule="auto"/>
      <w:ind w:left="0" w:firstLine="0"/>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cs="Arial"/>
      <w:b/>
      <w:bCs/>
      <w:sz w:val="32"/>
      <w:szCs w:val="32"/>
      <w:lang w:bidi="ar-SA"/>
    </w:rPr>
  </w:style>
  <w:style w:type="paragraph" w:styleId="4">
    <w:name w:val="heading 3"/>
    <w:basedOn w:val="1"/>
    <w:next w:val="1"/>
    <w:qFormat/>
    <w:uiPriority w:val="0"/>
    <w:pPr>
      <w:keepNext/>
      <w:keepLines/>
      <w:widowControl w:val="0"/>
      <w:spacing w:before="260" w:beforeAutospacing="0" w:after="260" w:afterAutospacing="0" w:line="412" w:lineRule="auto"/>
      <w:outlineLvl w:val="2"/>
    </w:pPr>
    <w:rPr>
      <w:b/>
      <w:sz w:val="32"/>
    </w:rPr>
  </w:style>
  <w:style w:type="character" w:default="1" w:styleId="28">
    <w:name w:val="Default Paragraph Font"/>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5">
    <w:name w:val="annotation text"/>
    <w:basedOn w:val="1"/>
    <w:link w:val="43"/>
    <w:qFormat/>
    <w:uiPriority w:val="0"/>
    <w:pPr>
      <w:jc w:val="left"/>
    </w:pPr>
  </w:style>
  <w:style w:type="paragraph" w:styleId="6">
    <w:name w:val="Body Text 3"/>
    <w:basedOn w:val="1"/>
    <w:qFormat/>
    <w:uiPriority w:val="99"/>
    <w:rPr>
      <w:rFonts w:ascii="宋体" w:cs="宋体"/>
      <w:sz w:val="24"/>
      <w:szCs w:val="24"/>
    </w:rPr>
  </w:style>
  <w:style w:type="paragraph" w:styleId="7">
    <w:name w:val="Body Text"/>
    <w:basedOn w:val="1"/>
    <w:qFormat/>
    <w:uiPriority w:val="0"/>
    <w:pPr>
      <w:spacing w:after="120"/>
    </w:pPr>
    <w:rPr>
      <w:rFonts w:ascii="@微软简标宋" w:hAnsi="@微软简标宋" w:eastAsia="仿宋" w:cs="@微软简标宋"/>
      <w:szCs w:val="24"/>
      <w:lang w:val="zh-CN" w:eastAsia="zh-CN" w:bidi="ar-SA"/>
    </w:rPr>
  </w:style>
  <w:style w:type="paragraph" w:styleId="8">
    <w:name w:val="Body Text Indent"/>
    <w:basedOn w:val="1"/>
    <w:next w:val="1"/>
    <w:qFormat/>
    <w:uiPriority w:val="0"/>
    <w:pPr>
      <w:ind w:firstLine="645"/>
    </w:pPr>
    <w:rPr>
      <w:rFonts w:ascii="Times New Roman" w:hAnsi="Times New Roman" w:eastAsia="宋体" w:cs="Times New Roman"/>
      <w:kern w:val="0"/>
      <w:sz w:val="24"/>
      <w:szCs w:val="24"/>
      <w:lang w:bidi="ar-SA"/>
    </w:rPr>
  </w:style>
  <w:style w:type="paragraph" w:styleId="9">
    <w:name w:val="Plain Text"/>
    <w:basedOn w:val="1"/>
    <w:qFormat/>
    <w:uiPriority w:val="0"/>
    <w:rPr>
      <w:rFonts w:eastAsia="宋体"/>
      <w:szCs w:val="22"/>
    </w:rPr>
  </w:style>
  <w:style w:type="paragraph" w:styleId="10">
    <w:name w:val="Date"/>
    <w:basedOn w:val="1"/>
    <w:next w:val="1"/>
    <w:qFormat/>
    <w:uiPriority w:val="0"/>
    <w:rPr>
      <w:rFonts w:ascii="Arial" w:hAnsi="Arial" w:cs="Arial"/>
      <w:b/>
      <w:sz w:val="28"/>
      <w:lang w:bidi="ar-SA"/>
    </w:rPr>
  </w:style>
  <w:style w:type="paragraph" w:styleId="11">
    <w:name w:val="Balloon Text"/>
    <w:basedOn w:val="1"/>
    <w:link w:val="44"/>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cs="Arial"/>
      <w:lang w:bidi="ar-SA"/>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widowControl w:val="0"/>
      <w:spacing w:before="120" w:after="120"/>
      <w:jc w:val="left"/>
    </w:pPr>
    <w:rPr>
      <w:rFonts w:ascii="Calibri" w:hAnsi="Calibri" w:eastAsia="宋体" w:cs="Calibri"/>
      <w:b/>
      <w:bCs/>
      <w:caps/>
      <w:kern w:val="2"/>
      <w:sz w:val="20"/>
      <w:szCs w:val="20"/>
      <w:lang w:val="en-US" w:eastAsia="zh-CN" w:bidi="ar-SA"/>
    </w:rPr>
  </w:style>
  <w:style w:type="paragraph" w:styleId="16">
    <w:name w:val="List"/>
    <w:basedOn w:val="1"/>
    <w:qFormat/>
    <w:uiPriority w:val="0"/>
    <w:pPr>
      <w:autoSpaceDE w:val="0"/>
      <w:autoSpaceDN w:val="0"/>
      <w:adjustRightInd w:val="0"/>
      <w:ind w:left="360" w:hanging="360"/>
      <w:jc w:val="left"/>
      <w:textAlignment w:val="baseline"/>
    </w:pPr>
    <w:rPr>
      <w:kern w:val="0"/>
      <w:sz w:val="20"/>
      <w:szCs w:val="20"/>
    </w:rPr>
  </w:style>
  <w:style w:type="paragraph" w:styleId="17">
    <w:name w:val="footnote text"/>
    <w:basedOn w:val="1"/>
    <w:qFormat/>
    <w:uiPriority w:val="0"/>
    <w:pPr>
      <w:snapToGrid w:val="0"/>
      <w:jc w:val="left"/>
    </w:pPr>
    <w:rPr>
      <w:rFonts w:ascii="Times New Roman" w:hAnsi="Times New Roman" w:cs="Times New Roman"/>
      <w:kern w:val="2"/>
      <w:sz w:val="18"/>
      <w:szCs w:val="18"/>
      <w:lang w:val="zh-CN" w:eastAsia="zh-CN" w:bidi="ar-SA"/>
    </w:rPr>
  </w:style>
  <w:style w:type="paragraph" w:styleId="18">
    <w:name w:val="toc 2"/>
    <w:basedOn w:val="1"/>
    <w:next w:val="1"/>
    <w:qFormat/>
    <w:uiPriority w:val="0"/>
    <w:pPr>
      <w:widowControl/>
      <w:spacing w:after="100" w:line="276" w:lineRule="auto"/>
      <w:ind w:left="220"/>
      <w:jc w:val="left"/>
    </w:pPr>
    <w:rPr>
      <w:rFonts w:ascii="Calibri" w:hAnsi="Calibri" w:eastAsia="宋体"/>
      <w:sz w:val="22"/>
      <w:szCs w:val="22"/>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21">
    <w:name w:val="index 1"/>
    <w:basedOn w:val="1"/>
    <w:next w:val="1"/>
    <w:qFormat/>
    <w:uiPriority w:val="0"/>
    <w:pPr>
      <w:jc w:val="center"/>
    </w:pPr>
    <w:rPr>
      <w:rFonts w:ascii="Arial" w:hAnsi="Arial" w:eastAsia="Arial" w:cs="Arial"/>
      <w:b/>
      <w:bCs/>
      <w:sz w:val="28"/>
      <w:lang w:bidi="ar-SA"/>
    </w:rPr>
  </w:style>
  <w:style w:type="paragraph" w:styleId="22">
    <w:name w:val="Title"/>
    <w:basedOn w:val="1"/>
    <w:next w:val="1"/>
    <w:qFormat/>
    <w:uiPriority w:val="0"/>
    <w:pPr>
      <w:spacing w:before="0" w:after="0" w:line="360" w:lineRule="auto"/>
      <w:jc w:val="center"/>
    </w:pPr>
    <w:rPr>
      <w:rFonts w:ascii="宋体" w:hAnsi="宋体" w:eastAsia="黑体"/>
      <w:b/>
      <w:smallCaps/>
      <w:snapToGrid w:val="0"/>
      <w:sz w:val="44"/>
    </w:rPr>
  </w:style>
  <w:style w:type="paragraph" w:styleId="23">
    <w:name w:val="annotation subject"/>
    <w:basedOn w:val="5"/>
    <w:next w:val="5"/>
    <w:link w:val="45"/>
    <w:qFormat/>
    <w:uiPriority w:val="0"/>
    <w:rPr>
      <w:b/>
      <w:bCs/>
    </w:rPr>
  </w:style>
  <w:style w:type="paragraph" w:styleId="24">
    <w:name w:val="Body Text First Indent"/>
    <w:basedOn w:val="7"/>
    <w:qFormat/>
    <w:uiPriority w:val="0"/>
    <w:pPr>
      <w:ind w:firstLine="100" w:firstLineChars="100"/>
    </w:pPr>
  </w:style>
  <w:style w:type="paragraph" w:styleId="25">
    <w:name w:val="Body Text First Indent 2"/>
    <w:basedOn w:val="8"/>
    <w:next w:val="1"/>
    <w:qFormat/>
    <w:uiPriority w:val="0"/>
    <w:pPr>
      <w:tabs>
        <w:tab w:val="left" w:pos="0"/>
        <w:tab w:val="left" w:pos="993"/>
        <w:tab w:val="left" w:pos="1134"/>
      </w:tabs>
      <w:ind w:firstLine="200" w:firstLineChars="200"/>
    </w:pPr>
  </w:style>
  <w:style w:type="table" w:styleId="27">
    <w:name w:val="Table Grid"/>
    <w:basedOn w:val="26"/>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FollowedHyperlink"/>
    <w:qFormat/>
    <w:uiPriority w:val="0"/>
    <w:rPr>
      <w:color w:val="5C5C5C"/>
      <w:u w:val="none"/>
    </w:rPr>
  </w:style>
  <w:style w:type="character" w:styleId="31">
    <w:name w:val="Emphasis"/>
    <w:qFormat/>
    <w:uiPriority w:val="0"/>
    <w:rPr>
      <w:b/>
      <w:bCs/>
      <w:bdr w:val="single" w:color="D6D6D6" w:sz="6" w:space="0"/>
      <w:shd w:val="clear" w:color="auto" w:fill="FFFFFF"/>
    </w:rPr>
  </w:style>
  <w:style w:type="character" w:styleId="32">
    <w:name w:val="HTML Definition"/>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basedOn w:val="28"/>
    <w:qFormat/>
    <w:uiPriority w:val="0"/>
  </w:style>
  <w:style w:type="character" w:styleId="35">
    <w:name w:val="HTML Variable"/>
    <w:qFormat/>
    <w:uiPriority w:val="0"/>
  </w:style>
  <w:style w:type="character" w:styleId="36">
    <w:name w:val="Hyperlink"/>
    <w:qFormat/>
    <w:uiPriority w:val="0"/>
    <w:rPr>
      <w:color w:val="0563C1"/>
      <w:u w:val="single"/>
    </w:rPr>
  </w:style>
  <w:style w:type="character" w:styleId="37">
    <w:name w:val="HTML Code"/>
    <w:qFormat/>
    <w:uiPriority w:val="0"/>
    <w:rPr>
      <w:rFonts w:hint="default" w:ascii="monospace" w:hAnsi="monospace" w:eastAsia="monospace" w:cs="monospace"/>
      <w:sz w:val="20"/>
    </w:rPr>
  </w:style>
  <w:style w:type="character" w:styleId="38">
    <w:name w:val="annotation reference"/>
    <w:qFormat/>
    <w:uiPriority w:val="0"/>
    <w:rPr>
      <w:sz w:val="21"/>
      <w:szCs w:val="21"/>
    </w:rPr>
  </w:style>
  <w:style w:type="character" w:styleId="39">
    <w:name w:val="HTML Cite"/>
    <w:qFormat/>
    <w:uiPriority w:val="0"/>
  </w:style>
  <w:style w:type="character" w:styleId="40">
    <w:name w:val="footnote reference"/>
    <w:qFormat/>
    <w:uiPriority w:val="0"/>
    <w:rPr>
      <w:vertAlign w:val="superscript"/>
    </w:rPr>
  </w:style>
  <w:style w:type="character" w:styleId="41">
    <w:name w:val="HTML Keyboard"/>
    <w:qFormat/>
    <w:uiPriority w:val="0"/>
    <w:rPr>
      <w:rFonts w:hint="default" w:ascii="monospace" w:hAnsi="monospace" w:eastAsia="monospace" w:cs="monospace"/>
      <w:sz w:val="20"/>
    </w:rPr>
  </w:style>
  <w:style w:type="character" w:styleId="42">
    <w:name w:val="HTML Sample"/>
    <w:qFormat/>
    <w:uiPriority w:val="0"/>
    <w:rPr>
      <w:rFonts w:ascii="monospace" w:hAnsi="monospace" w:eastAsia="monospace" w:cs="monospace"/>
    </w:rPr>
  </w:style>
  <w:style w:type="character" w:customStyle="1" w:styleId="43">
    <w:name w:val="批注文字 字符"/>
    <w:link w:val="5"/>
    <w:qFormat/>
    <w:uiPriority w:val="0"/>
    <w:rPr>
      <w:rFonts w:ascii="Calibri" w:hAnsi="Calibri"/>
      <w:kern w:val="2"/>
      <w:sz w:val="21"/>
      <w:szCs w:val="22"/>
    </w:rPr>
  </w:style>
  <w:style w:type="character" w:customStyle="1" w:styleId="44">
    <w:name w:val="批注框文本 字符"/>
    <w:link w:val="11"/>
    <w:qFormat/>
    <w:uiPriority w:val="0"/>
    <w:rPr>
      <w:rFonts w:ascii="Calibri" w:hAnsi="Calibri"/>
      <w:kern w:val="2"/>
      <w:sz w:val="18"/>
      <w:szCs w:val="18"/>
    </w:rPr>
  </w:style>
  <w:style w:type="character" w:customStyle="1" w:styleId="45">
    <w:name w:val="批注主题 字符"/>
    <w:link w:val="23"/>
    <w:qFormat/>
    <w:uiPriority w:val="0"/>
    <w:rPr>
      <w:rFonts w:ascii="Calibri" w:hAnsi="Calibri"/>
      <w:b/>
      <w:bCs/>
      <w:kern w:val="2"/>
      <w:sz w:val="21"/>
      <w:szCs w:val="22"/>
    </w:rPr>
  </w:style>
  <w:style w:type="paragraph" w:customStyle="1" w:styleId="46">
    <w:name w:val="Header"/>
    <w:basedOn w:val="1"/>
    <w:next w:val="1"/>
    <w:qFormat/>
    <w:uiPriority w:val="0"/>
    <w:pPr>
      <w:pBdr>
        <w:bottom w:val="single" w:color="000000" w:sz="6" w:space="1"/>
      </w:pBdr>
      <w:tabs>
        <w:tab w:val="center" w:pos="4153"/>
        <w:tab w:val="right" w:pos="8306"/>
      </w:tabs>
      <w:snapToGrid w:val="0"/>
      <w:jc w:val="center"/>
    </w:pPr>
    <w:rPr>
      <w:sz w:val="18"/>
    </w:rPr>
  </w:style>
  <w:style w:type="paragraph" w:customStyle="1" w:styleId="47">
    <w:name w:val="正文首行缩进 21"/>
    <w:basedOn w:val="8"/>
    <w:qFormat/>
    <w:uiPriority w:val="0"/>
    <w:pPr>
      <w:ind w:firstLine="200" w:firstLineChars="200"/>
    </w:pPr>
  </w:style>
  <w:style w:type="paragraph" w:customStyle="1" w:styleId="4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9">
    <w:name w:val="List Paragraph"/>
    <w:basedOn w:val="1"/>
    <w:qFormat/>
    <w:uiPriority w:val="0"/>
    <w:pPr>
      <w:ind w:firstLine="200" w:firstLineChars="200"/>
    </w:pPr>
  </w:style>
  <w:style w:type="paragraph" w:customStyle="1" w:styleId="50">
    <w:name w:val="普通 (Web)"/>
    <w:basedOn w:val="1"/>
    <w:qFormat/>
    <w:uiPriority w:val="0"/>
    <w:pPr>
      <w:widowControl/>
      <w:spacing w:before="100" w:beforeAutospacing="1" w:after="100" w:afterAutospacing="1"/>
      <w:jc w:val="left"/>
    </w:pPr>
    <w:rPr>
      <w:rFonts w:cs="Times New Roman"/>
      <w:sz w:val="24"/>
      <w:szCs w:val="24"/>
      <w:lang w:bidi="ar-SA"/>
    </w:rPr>
  </w:style>
  <w:style w:type="paragraph" w:customStyle="1" w:styleId="51">
    <w:name w:val="xl31"/>
    <w:basedOn w:val="1"/>
    <w:qFormat/>
    <w:uiPriority w:val="0"/>
    <w:pPr>
      <w:widowControl/>
      <w:spacing w:before="100" w:beforeAutospacing="1" w:after="100" w:afterAutospacing="1"/>
      <w:jc w:val="center"/>
    </w:pPr>
    <w:rPr>
      <w:b/>
      <w:bCs/>
      <w:sz w:val="28"/>
      <w:szCs w:val="28"/>
    </w:rPr>
  </w:style>
  <w:style w:type="paragraph" w:customStyle="1" w:styleId="52">
    <w:name w:val="Table Paragraph"/>
    <w:qFormat/>
    <w:uiPriority w:val="0"/>
    <w:rPr>
      <w:rFonts w:ascii="Times New Roman" w:hAnsi="Times New Roman" w:eastAsia="宋体" w:cs="Times New Roman"/>
      <w:lang w:val="en-US" w:eastAsia="zh-CN" w:bidi="ar-SA"/>
    </w:rPr>
  </w:style>
  <w:style w:type="paragraph" w:customStyle="1" w:styleId="53">
    <w:name w:val="D&amp;L"/>
    <w:basedOn w:val="14"/>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54">
    <w:name w:val="Char Char Char Char Char Char Char1 Char"/>
    <w:basedOn w:val="1"/>
    <w:qFormat/>
    <w:uiPriority w:val="0"/>
    <w:rPr>
      <w:rFonts w:ascii="Arial" w:hAnsi="Arial" w:eastAsia="宋体" w:cs="Arial"/>
      <w:sz w:val="24"/>
      <w:lang w:bidi="ar-SA"/>
    </w:rPr>
  </w:style>
  <w:style w:type="paragraph" w:customStyle="1" w:styleId="55">
    <w:name w:val="纯文本1"/>
    <w:basedOn w:val="1"/>
    <w:qFormat/>
    <w:uiPriority w:val="0"/>
    <w:rPr>
      <w:rFonts w:ascii="Arial" w:hAnsi="Arial" w:eastAsia="Arial" w:cs="Times New Roman"/>
      <w:lang w:bidi="ar-SA"/>
    </w:rPr>
  </w:style>
  <w:style w:type="paragraph" w:customStyle="1" w:styleId="56">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57">
    <w:name w:val="ParaAttribute13"/>
    <w:qFormat/>
    <w:uiPriority w:val="0"/>
    <w:pPr>
      <w:widowControl w:val="0"/>
      <w:wordWrap w:val="0"/>
      <w:ind w:left="-106"/>
    </w:pPr>
    <w:rPr>
      <w:rFonts w:ascii="Times New Roman" w:hAnsi="Times New Roman" w:eastAsia="Batang" w:cs="Times New Roman"/>
      <w:sz w:val="21"/>
      <w:szCs w:val="22"/>
      <w:lang w:val="en-US" w:eastAsia="zh-CN" w:bidi="ar-SA"/>
    </w:rPr>
  </w:style>
  <w:style w:type="character" w:customStyle="1" w:styleId="58">
    <w:name w:val="CharAttribute0"/>
    <w:qFormat/>
    <w:uiPriority w:val="0"/>
    <w:rPr>
      <w:rFonts w:ascii="Times New Roman" w:eastAsia="宋体"/>
      <w:sz w:val="21"/>
    </w:rPr>
  </w:style>
  <w:style w:type="character" w:customStyle="1" w:styleId="59">
    <w:name w:val="font11"/>
    <w:qFormat/>
    <w:uiPriority w:val="0"/>
    <w:rPr>
      <w:rFonts w:hint="eastAsia" w:ascii="宋体" w:hAnsi="宋体" w:eastAsia="宋体" w:cs="宋体"/>
      <w:color w:val="000000"/>
      <w:sz w:val="22"/>
      <w:szCs w:val="22"/>
      <w:u w:val="none"/>
    </w:rPr>
  </w:style>
  <w:style w:type="character" w:customStyle="1" w:styleId="60">
    <w:name w:val="hover"/>
    <w:qFormat/>
    <w:uiPriority w:val="0"/>
    <w:rPr>
      <w:color w:val="2590EB"/>
    </w:rPr>
  </w:style>
  <w:style w:type="character" w:customStyle="1" w:styleId="61">
    <w:name w:val="hover1"/>
    <w:qFormat/>
    <w:uiPriority w:val="0"/>
    <w:rPr>
      <w:color w:val="2590EB"/>
    </w:rPr>
  </w:style>
  <w:style w:type="character" w:customStyle="1" w:styleId="62">
    <w:name w:val="hover2"/>
    <w:qFormat/>
    <w:uiPriority w:val="0"/>
  </w:style>
  <w:style w:type="character" w:customStyle="1" w:styleId="63">
    <w:name w:val="hover3"/>
    <w:qFormat/>
    <w:uiPriority w:val="0"/>
    <w:rPr>
      <w:color w:val="2590EB"/>
      <w:shd w:val="clear" w:color="auto" w:fill="E9F4FD"/>
    </w:rPr>
  </w:style>
  <w:style w:type="character" w:customStyle="1" w:styleId="64">
    <w:name w:val="status"/>
    <w:qFormat/>
    <w:uiPriority w:val="0"/>
    <w:rPr>
      <w:color w:val="0776DD"/>
    </w:rPr>
  </w:style>
  <w:style w:type="character" w:customStyle="1" w:styleId="65">
    <w:name w:val="time"/>
    <w:qFormat/>
    <w:uiPriority w:val="0"/>
  </w:style>
  <w:style w:type="character" w:customStyle="1" w:styleId="66">
    <w:name w:val="mini-outputtext1"/>
    <w:qFormat/>
    <w:uiPriority w:val="0"/>
  </w:style>
  <w:style w:type="table" w:customStyle="1" w:styleId="67">
    <w:name w:val="Table Normal"/>
    <w:unhideWhenUsed/>
    <w:qFormat/>
    <w:uiPriority w:val="2"/>
    <w:rPr>
      <w:lang w:val="en-US" w:eastAsia="zh-CN" w:bidi="ar-SA"/>
    </w:rPr>
    <w:tblPr>
      <w:tblCellMar>
        <w:top w:w="0" w:type="dxa"/>
        <w:left w:w="0" w:type="dxa"/>
        <w:bottom w:w="0" w:type="dxa"/>
        <w:right w:w="0" w:type="dxa"/>
      </w:tblCellMar>
    </w:tblPr>
  </w:style>
  <w:style w:type="paragraph" w:customStyle="1" w:styleId="68">
    <w:name w:val="Body Text First Indent1"/>
    <w:basedOn w:val="7"/>
    <w:qFormat/>
    <w:uiPriority w:val="0"/>
    <w:pPr>
      <w:tabs>
        <w:tab w:val="left" w:pos="482"/>
      </w:tabs>
      <w:ind w:firstLine="420" w:firstLineChars="100"/>
    </w:pPr>
  </w:style>
  <w:style w:type="paragraph" w:customStyle="1" w:styleId="69">
    <w:name w:val="_Style 68"/>
    <w:unhideWhenUsed/>
    <w:qFormat/>
    <w:uiPriority w:val="99"/>
    <w:rPr>
      <w:rFonts w:ascii="Calibri" w:hAnsi="Calibri" w:eastAsia="宋体" w:cs="Times New Roman"/>
      <w:kern w:val="2"/>
      <w:sz w:val="21"/>
      <w:szCs w:val="22"/>
      <w:lang w:val="en-US" w:eastAsia="zh-CN" w:bidi="ar-SA"/>
    </w:rPr>
  </w:style>
  <w:style w:type="character" w:customStyle="1" w:styleId="70">
    <w:name w:val="hover4"/>
    <w:basedOn w:val="28"/>
    <w:qFormat/>
    <w:uiPriority w:val="0"/>
    <w:rPr>
      <w:color w:val="2590EB"/>
      <w:shd w:val="clear" w:color="auto" w:fill="E9F4FD"/>
    </w:rPr>
  </w:style>
  <w:style w:type="paragraph" w:customStyle="1" w:styleId="71">
    <w:name w:val="p15"/>
    <w:basedOn w:val="1"/>
    <w:qFormat/>
    <w:uiPriority w:val="0"/>
    <w:pPr>
      <w:widowControl/>
      <w:spacing w:before="100" w:line="400" w:lineRule="atLeast"/>
    </w:pPr>
    <w:rPr>
      <w:kern w:val="0"/>
      <w:sz w:val="28"/>
      <w:szCs w:val="28"/>
    </w:rPr>
  </w:style>
  <w:style w:type="paragraph" w:customStyle="1" w:styleId="72">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~WRL0002.tmp</Template>
  <Pages>61</Pages>
  <Words>2275</Words>
  <Characters>2854</Characters>
  <Lines>235</Lines>
  <Paragraphs>66</Paragraphs>
  <TotalTime>0</TotalTime>
  <ScaleCrop>false</ScaleCrop>
  <LinksUpToDate>false</LinksUpToDate>
  <CharactersWithSpaces>2928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2021-07-13T03:56:00Z</dcterms:created>
  <dc:creator>PC</dc:creator>
  <cp:lastModifiedBy>Admin</cp:lastModifiedBy>
  <cp:lastPrinted>2024-10-23T01:08:00Z</cp:lastPrinted>
  <dcterms:modified xsi:type="dcterms:W3CDTF">2026-08-26T02:50:01Z</dcterms:modified>
  <dc:title>竞争性磋商文件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40BFDB3F955547E8887F69B8733E5710_13</vt:lpwstr>
  </property>
  <property fmtid="{D5CDD505-2E9C-101B-9397-08002B2CF9AE}" pid="4" name="KSOTemplateDocerSaveRecord">
    <vt:lpwstr>eyJoZGlkIjoiZDRhZTY2ODg4ODM0NTUzZjU4NmZjMWZmMTIzYTc0MDEiLCJ1c2VySWQiOiIxMTUzMDI3OTU3In0=</vt:lpwstr>
  </property>
</Properties>
</file>